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57EA" w:rsidRDefault="00DA0B29" w:rsidP="00D51089">
      <w:pPr>
        <w:pStyle w:val="REG-H1a"/>
      </w:pPr>
      <w:r>
        <w:rPr>
          <w:lang w:val="en-ZA" w:eastAsia="en-ZA"/>
        </w:rPr>
        <w:drawing>
          <wp:anchor distT="0" distB="0" distL="114300" distR="114300" simplePos="0" relativeHeight="251657728" behindDoc="0" locked="1" layoutInCell="0" allowOverlap="0">
            <wp:simplePos x="0" y="0"/>
            <wp:positionH relativeFrom="margin">
              <wp:align>center</wp:align>
            </wp:positionH>
            <wp:positionV relativeFrom="page">
              <wp:align>top</wp:align>
            </wp:positionV>
            <wp:extent cx="7574280" cy="3366135"/>
            <wp:effectExtent l="0" t="0" r="0" b="5715"/>
            <wp:wrapSquare wrapText="bothSides"/>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574280" cy="33661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B57EA" w:rsidRPr="00682D07" w:rsidRDefault="00FB57EA" w:rsidP="00E43D26">
      <w:pPr>
        <w:pStyle w:val="REG-H1d"/>
      </w:pPr>
      <w:r w:rsidRPr="00682D07">
        <w:t>REGULATIONS MADE IN TERMS OF</w:t>
      </w:r>
    </w:p>
    <w:p w:rsidR="00FB57EA" w:rsidRPr="00A42E97" w:rsidRDefault="00FB57EA" w:rsidP="00A42E97">
      <w:pPr>
        <w:pStyle w:val="REG-H1d"/>
      </w:pPr>
    </w:p>
    <w:p w:rsidR="00FB57EA" w:rsidRPr="005E5A51" w:rsidRDefault="006B4FD8" w:rsidP="00E43D26">
      <w:pPr>
        <w:pStyle w:val="REG-H1a"/>
      </w:pPr>
      <w:r>
        <w:t xml:space="preserve">Credit Agreements Act </w:t>
      </w:r>
      <w:r w:rsidR="005E5A51" w:rsidRPr="005E5A51">
        <w:t>75 of 1980</w:t>
      </w:r>
    </w:p>
    <w:p w:rsidR="00FB57EA" w:rsidRPr="0025348F" w:rsidRDefault="00FB57EA" w:rsidP="0025348F">
      <w:pPr>
        <w:pStyle w:val="REG-H1b"/>
        <w:rPr>
          <w:b w:val="0"/>
        </w:rPr>
      </w:pPr>
      <w:r w:rsidRPr="008A3C25">
        <w:rPr>
          <w:b w:val="0"/>
        </w:rPr>
        <w:t xml:space="preserve">section </w:t>
      </w:r>
      <w:r w:rsidR="00316A7E">
        <w:rPr>
          <w:b w:val="0"/>
        </w:rPr>
        <w:t>3</w:t>
      </w:r>
    </w:p>
    <w:p w:rsidR="00FB57EA" w:rsidRDefault="00FB57EA" w:rsidP="00E43D26">
      <w:pPr>
        <w:pStyle w:val="REG-H1a"/>
        <w:pBdr>
          <w:bottom w:val="single" w:sz="4" w:space="1" w:color="auto"/>
        </w:pBdr>
      </w:pPr>
    </w:p>
    <w:p w:rsidR="00FB57EA" w:rsidRDefault="00FB57EA" w:rsidP="00E43D26">
      <w:pPr>
        <w:pStyle w:val="REG-H1a"/>
      </w:pPr>
    </w:p>
    <w:p w:rsidR="00FB57EA" w:rsidRPr="003C0451" w:rsidRDefault="0098586A" w:rsidP="00E43D26">
      <w:pPr>
        <w:pStyle w:val="REG-H1b"/>
      </w:pPr>
      <w:r>
        <w:t xml:space="preserve">General </w:t>
      </w:r>
      <w:r w:rsidR="009525BC">
        <w:t>R</w:t>
      </w:r>
      <w:r>
        <w:t>egulations</w:t>
      </w:r>
    </w:p>
    <w:p w:rsidR="00FB57EA" w:rsidRPr="00682D07" w:rsidRDefault="00FB57EA" w:rsidP="00E43D26">
      <w:pPr>
        <w:pStyle w:val="REG-H1d"/>
      </w:pPr>
      <w:r w:rsidRPr="00682D07">
        <w:t xml:space="preserve">Government Notice </w:t>
      </w:r>
      <w:r w:rsidR="00810F3B">
        <w:t xml:space="preserve">AG </w:t>
      </w:r>
      <w:r w:rsidR="009F226A">
        <w:t>6</w:t>
      </w:r>
      <w:r w:rsidR="00316A7E">
        <w:t>8</w:t>
      </w:r>
      <w:r w:rsidRPr="00682D07">
        <w:t xml:space="preserve"> of </w:t>
      </w:r>
      <w:r w:rsidR="007979C4">
        <w:t>19</w:t>
      </w:r>
      <w:r w:rsidR="00580948">
        <w:t>8</w:t>
      </w:r>
      <w:r w:rsidR="008A3C25">
        <w:t>1</w:t>
      </w:r>
    </w:p>
    <w:p w:rsidR="00FB57EA" w:rsidRPr="00AC2903" w:rsidRDefault="0082717B" w:rsidP="00E43D26">
      <w:pPr>
        <w:pStyle w:val="REG-Amend"/>
      </w:pPr>
      <w:r>
        <w:t>(</w:t>
      </w:r>
      <w:hyperlink r:id="rId8" w:history="1">
        <w:r w:rsidR="009525BC" w:rsidRPr="0063721F">
          <w:rPr>
            <w:rStyle w:val="Hyperlink"/>
            <w:lang w:val="en-ZA"/>
          </w:rPr>
          <w:t>OG 4473</w:t>
        </w:r>
      </w:hyperlink>
      <w:r w:rsidR="00FB57EA" w:rsidRPr="00AC2903">
        <w:t>)</w:t>
      </w:r>
    </w:p>
    <w:p w:rsidR="00FB57EA" w:rsidRPr="00AC2903" w:rsidRDefault="00FB57EA" w:rsidP="00E43D26">
      <w:pPr>
        <w:pStyle w:val="REG-Amend"/>
      </w:pPr>
      <w:r>
        <w:t xml:space="preserve">came </w:t>
      </w:r>
      <w:r w:rsidRPr="00AC2903">
        <w:t xml:space="preserve">into force on </w:t>
      </w:r>
      <w:r>
        <w:t xml:space="preserve">date of publication: </w:t>
      </w:r>
      <w:r w:rsidR="00EC083A">
        <w:t>1 July 1981 (regulation 5)</w:t>
      </w:r>
    </w:p>
    <w:p w:rsidR="00FB57EA" w:rsidRPr="006737D3" w:rsidRDefault="00FB57EA" w:rsidP="006C758A">
      <w:pPr>
        <w:pStyle w:val="REG-H1c"/>
      </w:pPr>
    </w:p>
    <w:p w:rsidR="00FB57EA" w:rsidRPr="00A42E97" w:rsidRDefault="00FB57EA" w:rsidP="006C758A">
      <w:pPr>
        <w:pStyle w:val="REG-H1c"/>
        <w:rPr>
          <w:rStyle w:val="REG-AmendChar"/>
          <w:rFonts w:eastAsiaTheme="minorHAnsi"/>
          <w:sz w:val="24"/>
          <w:szCs w:val="24"/>
        </w:rPr>
      </w:pPr>
      <w:r w:rsidRPr="008B3E93">
        <w:rPr>
          <w:color w:val="00B050"/>
        </w:rPr>
        <w:t>as amended by</w:t>
      </w:r>
    </w:p>
    <w:p w:rsidR="00B417C8" w:rsidRDefault="00B417C8" w:rsidP="00B417C8">
      <w:pPr>
        <w:pStyle w:val="REG-H1c"/>
      </w:pPr>
    </w:p>
    <w:p w:rsidR="00B417C8" w:rsidRPr="00ED638E" w:rsidRDefault="00B417C8" w:rsidP="00B417C8">
      <w:pPr>
        <w:pStyle w:val="REG-H1c"/>
      </w:pPr>
      <w:r w:rsidRPr="00ED638E">
        <w:t>G</w:t>
      </w:r>
      <w:r w:rsidR="000D6BDE" w:rsidRPr="00ED638E">
        <w:t xml:space="preserve">overnment Notice 118 of 1984 </w:t>
      </w:r>
      <w:r w:rsidR="009D0DFB" w:rsidRPr="00ED638E">
        <w:rPr>
          <w:rStyle w:val="REG-AmendChar"/>
          <w:rFonts w:eastAsiaTheme="minorHAnsi"/>
          <w:b/>
        </w:rPr>
        <w:t>(</w:t>
      </w:r>
      <w:hyperlink r:id="rId9" w:history="1">
        <w:r w:rsidR="009525BC" w:rsidRPr="00ED638E">
          <w:rPr>
            <w:rStyle w:val="Hyperlink"/>
            <w:lang w:val="en-ZA"/>
          </w:rPr>
          <w:t>OG 4955</w:t>
        </w:r>
      </w:hyperlink>
      <w:r w:rsidR="000D6BDE" w:rsidRPr="00ED638E">
        <w:rPr>
          <w:rStyle w:val="REG-AmendChar"/>
          <w:rFonts w:eastAsiaTheme="minorHAnsi"/>
          <w:b/>
        </w:rPr>
        <w:t>)</w:t>
      </w:r>
    </w:p>
    <w:p w:rsidR="00B417C8" w:rsidRPr="00ED638E" w:rsidRDefault="00B417C8" w:rsidP="00B417C8">
      <w:pPr>
        <w:pStyle w:val="REG-Amend"/>
      </w:pPr>
      <w:r w:rsidRPr="00ED638E">
        <w:t>came into force on date of publication: 15 September 1984</w:t>
      </w:r>
    </w:p>
    <w:p w:rsidR="000D6BDE" w:rsidRPr="00ED638E" w:rsidRDefault="000D6BDE" w:rsidP="000D6BDE">
      <w:pPr>
        <w:pStyle w:val="REG-H1c"/>
      </w:pPr>
      <w:r w:rsidRPr="00ED638E">
        <w:t xml:space="preserve">Government Notice </w:t>
      </w:r>
      <w:r w:rsidR="00810F3B" w:rsidRPr="00ED638E">
        <w:t xml:space="preserve">AG </w:t>
      </w:r>
      <w:r w:rsidRPr="00ED638E">
        <w:t xml:space="preserve">47 of 1985 </w:t>
      </w:r>
      <w:r w:rsidR="009D0DFB" w:rsidRPr="00ED638E">
        <w:rPr>
          <w:rStyle w:val="REG-AmendChar"/>
          <w:rFonts w:eastAsiaTheme="minorHAnsi"/>
          <w:b/>
        </w:rPr>
        <w:t>(</w:t>
      </w:r>
      <w:hyperlink r:id="rId10" w:history="1">
        <w:r w:rsidR="009525BC" w:rsidRPr="00ED638E">
          <w:rPr>
            <w:rStyle w:val="Hyperlink"/>
            <w:lang w:val="en-ZA"/>
          </w:rPr>
          <w:t>OG 5035</w:t>
        </w:r>
      </w:hyperlink>
      <w:r w:rsidRPr="00ED638E">
        <w:rPr>
          <w:rStyle w:val="REG-AmendChar"/>
          <w:rFonts w:eastAsiaTheme="minorHAnsi"/>
          <w:b/>
        </w:rPr>
        <w:t>)</w:t>
      </w:r>
    </w:p>
    <w:p w:rsidR="000D6BDE" w:rsidRPr="00ED638E" w:rsidRDefault="000D6BDE" w:rsidP="000D6BDE">
      <w:pPr>
        <w:pStyle w:val="REG-Amend"/>
      </w:pPr>
      <w:r w:rsidRPr="00ED638E">
        <w:t>came into force on date of publication: 1 May 1985</w:t>
      </w:r>
    </w:p>
    <w:p w:rsidR="00B1712E" w:rsidRPr="00DA3697" w:rsidRDefault="00B1712E" w:rsidP="00B1712E">
      <w:pPr>
        <w:pStyle w:val="REG-H1c"/>
      </w:pPr>
      <w:r w:rsidRPr="00DA3697">
        <w:t xml:space="preserve">Government Notice 1 of 1986 </w:t>
      </w:r>
      <w:r w:rsidR="009D0DFB" w:rsidRPr="00DA3697">
        <w:rPr>
          <w:rStyle w:val="REG-AmendChar"/>
          <w:rFonts w:eastAsiaTheme="minorHAnsi"/>
          <w:b/>
        </w:rPr>
        <w:t>(</w:t>
      </w:r>
      <w:hyperlink r:id="rId11" w:history="1">
        <w:r w:rsidR="009525BC" w:rsidRPr="00DA3697">
          <w:rPr>
            <w:rStyle w:val="Hyperlink"/>
            <w:lang w:val="en-ZA"/>
          </w:rPr>
          <w:t>OG 5158</w:t>
        </w:r>
      </w:hyperlink>
      <w:r w:rsidRPr="00DA3697">
        <w:rPr>
          <w:rStyle w:val="REG-AmendChar"/>
          <w:rFonts w:eastAsiaTheme="minorHAnsi"/>
          <w:b/>
        </w:rPr>
        <w:t>)</w:t>
      </w:r>
    </w:p>
    <w:p w:rsidR="00B1712E" w:rsidRPr="00DA3697" w:rsidRDefault="00B1712E" w:rsidP="00B1712E">
      <w:pPr>
        <w:pStyle w:val="REG-Amend"/>
      </w:pPr>
      <w:r w:rsidRPr="00DA3697">
        <w:t>came into force on date of publication: 2 January 1986</w:t>
      </w:r>
    </w:p>
    <w:p w:rsidR="009D0DFB" w:rsidRPr="00DA3697" w:rsidRDefault="009D0DFB" w:rsidP="009D0DFB">
      <w:pPr>
        <w:pStyle w:val="REG-H1c"/>
      </w:pPr>
      <w:r w:rsidRPr="00DA3697">
        <w:t xml:space="preserve">Government Notice 177 of 1992 </w:t>
      </w:r>
      <w:r w:rsidRPr="00DA3697">
        <w:rPr>
          <w:rStyle w:val="REG-AmendChar"/>
          <w:rFonts w:eastAsiaTheme="minorHAnsi"/>
          <w:b/>
        </w:rPr>
        <w:t>(</w:t>
      </w:r>
      <w:hyperlink r:id="rId12" w:history="1">
        <w:r w:rsidR="009525BC" w:rsidRPr="00DA3697">
          <w:rPr>
            <w:rStyle w:val="Hyperlink"/>
            <w:lang w:val="en-ZA"/>
          </w:rPr>
          <w:t>GG 536</w:t>
        </w:r>
      </w:hyperlink>
      <w:r w:rsidRPr="00DA3697">
        <w:rPr>
          <w:rStyle w:val="REG-AmendChar"/>
          <w:rFonts w:eastAsiaTheme="minorHAnsi"/>
          <w:b/>
        </w:rPr>
        <w:t>)</w:t>
      </w:r>
    </w:p>
    <w:p w:rsidR="009D0DFB" w:rsidRPr="00DA3697" w:rsidRDefault="009D0DFB" w:rsidP="009D0DFB">
      <w:pPr>
        <w:pStyle w:val="REG-Amend"/>
      </w:pPr>
      <w:r w:rsidRPr="00DA3697">
        <w:t>came into force on date of publication: 1 December 1992</w:t>
      </w:r>
    </w:p>
    <w:p w:rsidR="009525BC" w:rsidRPr="00F91C76" w:rsidRDefault="009525BC" w:rsidP="009525BC">
      <w:pPr>
        <w:jc w:val="center"/>
        <w:rPr>
          <w:rStyle w:val="REG-AmendChar"/>
          <w:rFonts w:eastAsiaTheme="minorHAnsi"/>
        </w:rPr>
      </w:pPr>
      <w:r w:rsidRPr="00F91C76">
        <w:rPr>
          <w:rStyle w:val="REG-H1cChar"/>
        </w:rPr>
        <w:t>Government Notice 142 of 2016</w:t>
      </w:r>
      <w:r w:rsidRPr="00F91C76">
        <w:rPr>
          <w:lang w:val="en-ZA"/>
        </w:rPr>
        <w:t xml:space="preserve"> </w:t>
      </w:r>
      <w:r w:rsidRPr="00F91C76">
        <w:rPr>
          <w:rStyle w:val="REG-AmendChar"/>
          <w:rFonts w:eastAsiaTheme="minorHAnsi"/>
        </w:rPr>
        <w:t>(</w:t>
      </w:r>
      <w:hyperlink r:id="rId13" w:history="1">
        <w:r w:rsidRPr="00A35685">
          <w:rPr>
            <w:rStyle w:val="Hyperlink"/>
            <w:b/>
            <w:lang w:val="en-ZA"/>
          </w:rPr>
          <w:t>GG 6052</w:t>
        </w:r>
      </w:hyperlink>
      <w:r w:rsidRPr="00F91C76">
        <w:rPr>
          <w:rStyle w:val="REG-AmendChar"/>
          <w:rFonts w:eastAsiaTheme="minorHAnsi"/>
        </w:rPr>
        <w:t>)</w:t>
      </w:r>
    </w:p>
    <w:p w:rsidR="00F91C76" w:rsidRPr="00ED638E" w:rsidRDefault="00F91C76" w:rsidP="00F91C76">
      <w:pPr>
        <w:pStyle w:val="REG-Amend"/>
      </w:pPr>
      <w:r w:rsidRPr="00ED638E">
        <w:t xml:space="preserve">came into force on date of publication: </w:t>
      </w:r>
      <w:r>
        <w:t>28 June 2016</w:t>
      </w:r>
    </w:p>
    <w:p w:rsidR="009525BC" w:rsidRPr="008E5CBA" w:rsidRDefault="009525BC" w:rsidP="009525BC">
      <w:pPr>
        <w:jc w:val="center"/>
        <w:rPr>
          <w:rStyle w:val="REG-AmendChar"/>
          <w:rFonts w:eastAsiaTheme="minorHAnsi"/>
        </w:rPr>
      </w:pPr>
      <w:r w:rsidRPr="008E5CBA">
        <w:rPr>
          <w:rStyle w:val="REG-H1cChar"/>
        </w:rPr>
        <w:t>Government Notice 97 of 2017</w:t>
      </w:r>
      <w:r w:rsidRPr="008E5CBA">
        <w:rPr>
          <w:lang w:val="en-ZA"/>
        </w:rPr>
        <w:t xml:space="preserve"> </w:t>
      </w:r>
      <w:r w:rsidRPr="008E5CBA">
        <w:rPr>
          <w:rStyle w:val="REG-AmendChar"/>
          <w:rFonts w:eastAsiaTheme="minorHAnsi"/>
        </w:rPr>
        <w:t>(</w:t>
      </w:r>
      <w:hyperlink r:id="rId14" w:history="1">
        <w:r w:rsidRPr="00A35685">
          <w:rPr>
            <w:rStyle w:val="Hyperlink"/>
            <w:b/>
            <w:lang w:val="en-ZA"/>
          </w:rPr>
          <w:t>GG 6297</w:t>
        </w:r>
      </w:hyperlink>
      <w:r w:rsidRPr="008E5CBA">
        <w:rPr>
          <w:rStyle w:val="REG-AmendChar"/>
          <w:rFonts w:eastAsiaTheme="minorHAnsi"/>
        </w:rPr>
        <w:t>)</w:t>
      </w:r>
    </w:p>
    <w:p w:rsidR="001C1DDA" w:rsidRPr="00ED638E" w:rsidRDefault="001C1DDA" w:rsidP="001C1DDA">
      <w:pPr>
        <w:pStyle w:val="REG-Amend"/>
      </w:pPr>
      <w:r w:rsidRPr="00ED638E">
        <w:t xml:space="preserve">came into force on date of publication: </w:t>
      </w:r>
      <w:r>
        <w:t xml:space="preserve">28 </w:t>
      </w:r>
      <w:r>
        <w:t>April 2017</w:t>
      </w:r>
    </w:p>
    <w:p w:rsidR="009525BC" w:rsidRPr="00DE01D8" w:rsidRDefault="009525BC" w:rsidP="009525BC">
      <w:pPr>
        <w:jc w:val="center"/>
        <w:rPr>
          <w:rStyle w:val="REG-AmendChar"/>
          <w:rFonts w:eastAsiaTheme="minorHAnsi"/>
        </w:rPr>
      </w:pPr>
      <w:r w:rsidRPr="0013650D">
        <w:rPr>
          <w:rStyle w:val="REG-H1cChar"/>
        </w:rPr>
        <w:t>Government Notice 218 of 2020</w:t>
      </w:r>
      <w:r w:rsidRPr="0013650D">
        <w:rPr>
          <w:lang w:val="en-ZA"/>
        </w:rPr>
        <w:t xml:space="preserve"> </w:t>
      </w:r>
      <w:r w:rsidRPr="0013650D">
        <w:rPr>
          <w:rStyle w:val="REG-AmendChar"/>
          <w:rFonts w:eastAsiaTheme="minorHAnsi"/>
        </w:rPr>
        <w:t>(</w:t>
      </w:r>
      <w:hyperlink r:id="rId15" w:history="1">
        <w:r w:rsidRPr="00A35685">
          <w:rPr>
            <w:rStyle w:val="Hyperlink"/>
            <w:b/>
            <w:lang w:val="en-ZA"/>
          </w:rPr>
          <w:t>GG 7321</w:t>
        </w:r>
      </w:hyperlink>
      <w:r w:rsidRPr="0013650D">
        <w:rPr>
          <w:rStyle w:val="REG-AmendChar"/>
          <w:rFonts w:eastAsiaTheme="minorHAnsi"/>
        </w:rPr>
        <w:t>)</w:t>
      </w:r>
    </w:p>
    <w:p w:rsidR="0013650D" w:rsidRPr="00ED638E" w:rsidRDefault="0013650D" w:rsidP="0013650D">
      <w:pPr>
        <w:pStyle w:val="REG-Amend"/>
      </w:pPr>
      <w:r w:rsidRPr="00ED638E">
        <w:t xml:space="preserve">came into force on date of publication: </w:t>
      </w:r>
      <w:r>
        <w:t xml:space="preserve">1 September </w:t>
      </w:r>
      <w:r>
        <w:t>20</w:t>
      </w:r>
      <w:r>
        <w:t>20</w:t>
      </w:r>
    </w:p>
    <w:p w:rsidR="009301A6" w:rsidRDefault="009301A6" w:rsidP="009301A6">
      <w:pPr>
        <w:pStyle w:val="REG-H1a"/>
        <w:pBdr>
          <w:bottom w:val="single" w:sz="4" w:space="1" w:color="auto"/>
        </w:pBdr>
      </w:pPr>
    </w:p>
    <w:p w:rsidR="009301A6" w:rsidRDefault="009301A6" w:rsidP="009301A6">
      <w:pPr>
        <w:pStyle w:val="REG-H1a"/>
        <w:rPr>
          <w:highlight w:val="yellow"/>
        </w:rPr>
      </w:pPr>
    </w:p>
    <w:p w:rsidR="00C02E02" w:rsidRPr="00257780" w:rsidRDefault="00C02E02" w:rsidP="00C02E02">
      <w:pPr>
        <w:pStyle w:val="REG-H2"/>
      </w:pPr>
      <w:r w:rsidRPr="00257780">
        <w:t>ARRANGEMENT OF REGULATIONS</w:t>
      </w:r>
    </w:p>
    <w:p w:rsidR="00C02E02" w:rsidRDefault="00C02E02" w:rsidP="00C02E02">
      <w:pPr>
        <w:pStyle w:val="REG-P0"/>
        <w:rPr>
          <w:color w:val="00B050"/>
        </w:rPr>
      </w:pPr>
    </w:p>
    <w:p w:rsidR="00E80985" w:rsidRPr="00E80985" w:rsidRDefault="00E80985" w:rsidP="00E80985">
      <w:pPr>
        <w:pStyle w:val="REG-P0"/>
        <w:rPr>
          <w:color w:val="00B050"/>
        </w:rPr>
      </w:pPr>
      <w:r>
        <w:rPr>
          <w:color w:val="00B050"/>
        </w:rPr>
        <w:t>1.</w:t>
      </w:r>
      <w:r>
        <w:rPr>
          <w:color w:val="00B050"/>
        </w:rPr>
        <w:tab/>
      </w:r>
      <w:r w:rsidRPr="00E80985">
        <w:rPr>
          <w:color w:val="00B050"/>
        </w:rPr>
        <w:t>Definitions</w:t>
      </w:r>
    </w:p>
    <w:p w:rsidR="00E80985" w:rsidRPr="00E80985" w:rsidRDefault="00E80985" w:rsidP="00E80985">
      <w:pPr>
        <w:pStyle w:val="REG-P0"/>
        <w:ind w:left="567" w:hanging="567"/>
        <w:rPr>
          <w:color w:val="00B050"/>
        </w:rPr>
      </w:pPr>
      <w:r>
        <w:rPr>
          <w:color w:val="00B050"/>
        </w:rPr>
        <w:t>2.</w:t>
      </w:r>
      <w:r>
        <w:rPr>
          <w:color w:val="00B050"/>
        </w:rPr>
        <w:tab/>
      </w:r>
      <w:r w:rsidRPr="00E80985">
        <w:rPr>
          <w:color w:val="00B050"/>
        </w:rPr>
        <w:t>Maximum period in respect of, and portion of cash price payable in terms of, credit agreements</w:t>
      </w:r>
    </w:p>
    <w:p w:rsidR="00E80985" w:rsidRPr="00E80985" w:rsidRDefault="00E80985" w:rsidP="00E80985">
      <w:pPr>
        <w:pStyle w:val="REG-P0"/>
        <w:rPr>
          <w:color w:val="00B050"/>
        </w:rPr>
      </w:pPr>
      <w:r>
        <w:rPr>
          <w:color w:val="00B050"/>
        </w:rPr>
        <w:t>3.</w:t>
      </w:r>
      <w:r>
        <w:rPr>
          <w:color w:val="00B050"/>
        </w:rPr>
        <w:tab/>
      </w:r>
      <w:r w:rsidRPr="00E80985">
        <w:rPr>
          <w:color w:val="00B050"/>
        </w:rPr>
        <w:t>Conditions in relation to credit agreements</w:t>
      </w:r>
    </w:p>
    <w:p w:rsidR="00E80985" w:rsidRPr="00E80985" w:rsidRDefault="00E80985" w:rsidP="00E80985">
      <w:pPr>
        <w:pStyle w:val="REG-P0"/>
        <w:rPr>
          <w:color w:val="00B050"/>
        </w:rPr>
      </w:pPr>
      <w:r>
        <w:rPr>
          <w:color w:val="00B050"/>
        </w:rPr>
        <w:t>4.</w:t>
      </w:r>
      <w:r>
        <w:rPr>
          <w:color w:val="00B050"/>
        </w:rPr>
        <w:tab/>
      </w:r>
      <w:r w:rsidRPr="00E80985">
        <w:rPr>
          <w:color w:val="00B050"/>
        </w:rPr>
        <w:t>Application of these regulations</w:t>
      </w:r>
    </w:p>
    <w:p w:rsidR="00E80985" w:rsidRPr="00E80985" w:rsidRDefault="00E80985" w:rsidP="00E80985">
      <w:pPr>
        <w:pStyle w:val="REG-P0"/>
        <w:rPr>
          <w:color w:val="00B050"/>
        </w:rPr>
      </w:pPr>
      <w:r>
        <w:rPr>
          <w:color w:val="00B050"/>
        </w:rPr>
        <w:t>5.</w:t>
      </w:r>
      <w:r>
        <w:rPr>
          <w:color w:val="00B050"/>
        </w:rPr>
        <w:tab/>
      </w:r>
      <w:r w:rsidRPr="00E80985">
        <w:rPr>
          <w:color w:val="00B050"/>
        </w:rPr>
        <w:t>Commencement</w:t>
      </w:r>
    </w:p>
    <w:p w:rsidR="00C02E02" w:rsidRPr="000C2C80" w:rsidRDefault="00C02E02" w:rsidP="00C02E02">
      <w:pPr>
        <w:pStyle w:val="REG-P0"/>
        <w:rPr>
          <w:color w:val="00B050"/>
        </w:rPr>
      </w:pPr>
    </w:p>
    <w:p w:rsidR="00C02E02" w:rsidRPr="004A1828" w:rsidRDefault="00C02E02" w:rsidP="00C02E02">
      <w:pPr>
        <w:pStyle w:val="REG-H3A"/>
      </w:pPr>
      <w:r w:rsidRPr="00EA3F03">
        <w:rPr>
          <w:color w:val="00B050"/>
        </w:rPr>
        <w:t>ANNEXURE</w:t>
      </w:r>
    </w:p>
    <w:p w:rsidR="00C02E02" w:rsidRDefault="00C02E02" w:rsidP="00C02E02">
      <w:pPr>
        <w:pStyle w:val="REG-H1a"/>
        <w:pBdr>
          <w:bottom w:val="single" w:sz="4" w:space="1" w:color="auto"/>
        </w:pBdr>
      </w:pPr>
    </w:p>
    <w:p w:rsidR="00B65018" w:rsidRDefault="00B65018" w:rsidP="00ED4163">
      <w:pPr>
        <w:pStyle w:val="REG-H1a"/>
        <w:rPr>
          <w:highlight w:val="yellow"/>
        </w:rPr>
      </w:pPr>
    </w:p>
    <w:p w:rsidR="00B65018" w:rsidRPr="00B65018" w:rsidRDefault="005E5A51" w:rsidP="00316A7E">
      <w:pPr>
        <w:pStyle w:val="REG-P0"/>
        <w:rPr>
          <w:b/>
        </w:rPr>
      </w:pPr>
      <w:r w:rsidRPr="00B65018">
        <w:rPr>
          <w:b/>
        </w:rPr>
        <w:t>Definitions</w:t>
      </w:r>
    </w:p>
    <w:p w:rsidR="00B65018" w:rsidRDefault="00B65018" w:rsidP="00316A7E">
      <w:pPr>
        <w:pStyle w:val="REG-P0"/>
      </w:pPr>
    </w:p>
    <w:p w:rsidR="00B65018" w:rsidRDefault="005E5A51" w:rsidP="00B65018">
      <w:pPr>
        <w:pStyle w:val="REG-P1"/>
      </w:pPr>
      <w:r w:rsidRPr="0075175E">
        <w:rPr>
          <w:b/>
        </w:rPr>
        <w:t>1.</w:t>
      </w:r>
      <w:r w:rsidRPr="00316A7E">
        <w:tab/>
        <w:t>In these regulations any expression to which a meaning has been assigned in the Act shall have that meaning</w:t>
      </w:r>
      <w:r w:rsidR="00B65018">
        <w:t>,</w:t>
      </w:r>
      <w:r w:rsidRPr="00316A7E">
        <w:t xml:space="preserve"> and unless the context otherwise indicates </w:t>
      </w:r>
      <w:r w:rsidR="0098586A">
        <w:t>-</w:t>
      </w:r>
    </w:p>
    <w:p w:rsidR="00B65018" w:rsidRDefault="00B65018" w:rsidP="00316A7E">
      <w:pPr>
        <w:pStyle w:val="REG-P0"/>
      </w:pPr>
    </w:p>
    <w:p w:rsidR="00B65018" w:rsidRDefault="00B65018" w:rsidP="00EC083A">
      <w:pPr>
        <w:pStyle w:val="REG-P0"/>
        <w:ind w:left="567"/>
      </w:pPr>
      <w:r>
        <w:t>“</w:t>
      </w:r>
      <w:r w:rsidR="005E5A51" w:rsidRPr="00316A7E">
        <w:t>cash price</w:t>
      </w:r>
      <w:r>
        <w:t>”</w:t>
      </w:r>
      <w:r w:rsidR="005E5A51" w:rsidRPr="00316A7E">
        <w:t>, in relation to a credit agreement which is an instalment sale transaction, means the price at which goods are normally sold by the credit grantor on immediate payment o</w:t>
      </w:r>
      <w:r w:rsidR="0098586A">
        <w:t>f the full purchase price;</w:t>
      </w:r>
    </w:p>
    <w:p w:rsidR="00B65018" w:rsidRDefault="00B65018" w:rsidP="00EC083A">
      <w:pPr>
        <w:pStyle w:val="REG-P0"/>
        <w:ind w:left="567"/>
      </w:pPr>
    </w:p>
    <w:p w:rsidR="00B65018" w:rsidRDefault="00EC083A" w:rsidP="00EC083A">
      <w:pPr>
        <w:pStyle w:val="REG-P0"/>
        <w:ind w:left="567"/>
      </w:pPr>
      <w:r>
        <w:t xml:space="preserve"> </w:t>
      </w:r>
      <w:r w:rsidR="00B65018">
        <w:t>“</w:t>
      </w:r>
      <w:r w:rsidR="005E5A51" w:rsidRPr="00316A7E">
        <w:t>finance charges</w:t>
      </w:r>
      <w:r w:rsidR="00B65018">
        <w:t>”</w:t>
      </w:r>
      <w:r w:rsidR="005E5A51" w:rsidRPr="00316A7E">
        <w:t xml:space="preserve"> means finance charges as defined in the Limitation and Disclosure of Finance Charges Act, 196</w:t>
      </w:r>
      <w:r w:rsidR="0098586A">
        <w:t>8 (Act 73 of 1968);</w:t>
      </w:r>
    </w:p>
    <w:p w:rsidR="00B65018" w:rsidRDefault="00B65018" w:rsidP="00EC083A">
      <w:pPr>
        <w:pStyle w:val="REG-P0"/>
        <w:ind w:left="567"/>
      </w:pPr>
    </w:p>
    <w:p w:rsidR="00B65018" w:rsidRDefault="00EC083A" w:rsidP="00EC083A">
      <w:pPr>
        <w:pStyle w:val="REG-P0"/>
        <w:ind w:left="567"/>
      </w:pPr>
      <w:r>
        <w:t xml:space="preserve"> </w:t>
      </w:r>
      <w:r w:rsidR="00B65018">
        <w:t>“</w:t>
      </w:r>
      <w:r w:rsidR="005E5A51" w:rsidRPr="00316A7E">
        <w:t>the Act</w:t>
      </w:r>
      <w:r w:rsidR="00B65018">
        <w:t>”</w:t>
      </w:r>
      <w:r w:rsidR="005E5A51" w:rsidRPr="00316A7E">
        <w:t xml:space="preserve"> means the Credit Agreements</w:t>
      </w:r>
      <w:r w:rsidR="0098586A">
        <w:t xml:space="preserve"> Act, 1980 (Act 75 of 1980).</w:t>
      </w:r>
    </w:p>
    <w:p w:rsidR="00B65018" w:rsidRDefault="00B65018" w:rsidP="00316A7E">
      <w:pPr>
        <w:pStyle w:val="REG-P0"/>
      </w:pPr>
    </w:p>
    <w:p w:rsidR="00B65018" w:rsidRPr="00B5267A" w:rsidRDefault="005E5A51" w:rsidP="00316A7E">
      <w:pPr>
        <w:pStyle w:val="REG-P0"/>
        <w:rPr>
          <w:b/>
        </w:rPr>
      </w:pPr>
      <w:r w:rsidRPr="00B5267A">
        <w:rPr>
          <w:b/>
        </w:rPr>
        <w:t>Maximum period in respect of, and portion of cash price payable in terms of</w:t>
      </w:r>
      <w:r w:rsidR="00B5267A">
        <w:rPr>
          <w:b/>
        </w:rPr>
        <w:t>,</w:t>
      </w:r>
      <w:r w:rsidRPr="00B5267A">
        <w:rPr>
          <w:b/>
        </w:rPr>
        <w:t xml:space="preserve"> credit agreements</w:t>
      </w:r>
    </w:p>
    <w:p w:rsidR="00B65018" w:rsidRDefault="00B65018" w:rsidP="00316A7E">
      <w:pPr>
        <w:pStyle w:val="REG-P0"/>
      </w:pPr>
    </w:p>
    <w:p w:rsidR="00B65018" w:rsidRDefault="005E5A51" w:rsidP="0075175E">
      <w:pPr>
        <w:pStyle w:val="REG-P1"/>
      </w:pPr>
      <w:r w:rsidRPr="0075175E">
        <w:rPr>
          <w:b/>
        </w:rPr>
        <w:t>2.</w:t>
      </w:r>
      <w:r w:rsidRPr="00316A7E">
        <w:tab/>
        <w:t xml:space="preserve">Subject to the provisions of regulations 3 and 4, all credit agreements entered into in respect of the goods mentioned in column </w:t>
      </w:r>
      <w:r w:rsidR="0075175E">
        <w:t>1</w:t>
      </w:r>
      <w:r w:rsidRPr="00316A7E">
        <w:t xml:space="preserve"> of the Annexure</w:t>
      </w:r>
      <w:r w:rsidR="0075175E">
        <w:t>,</w:t>
      </w:r>
      <w:r w:rsidRPr="00316A7E">
        <w:t xml:space="preserve"> shall comply with the provisions in relation to</w:t>
      </w:r>
      <w:r w:rsidR="0098586A">
        <w:t xml:space="preserve"> -</w:t>
      </w:r>
    </w:p>
    <w:p w:rsidR="00B65018" w:rsidRDefault="00B65018" w:rsidP="00316A7E">
      <w:pPr>
        <w:pStyle w:val="REG-P0"/>
      </w:pPr>
    </w:p>
    <w:p w:rsidR="00B65018" w:rsidRDefault="005E5A51" w:rsidP="009B69CD">
      <w:pPr>
        <w:pStyle w:val="REG-Pa"/>
      </w:pPr>
      <w:r w:rsidRPr="00316A7E">
        <w:t>(a)</w:t>
      </w:r>
      <w:r w:rsidRPr="00316A7E">
        <w:tab/>
        <w:t>the maximum period within which the full price under such credit agreements shall be paid, as prescribed in column 3 of the Annexure;</w:t>
      </w:r>
    </w:p>
    <w:p w:rsidR="00B65018" w:rsidRDefault="00B65018" w:rsidP="00316A7E">
      <w:pPr>
        <w:pStyle w:val="REG-P0"/>
      </w:pPr>
    </w:p>
    <w:p w:rsidR="00B65018" w:rsidRDefault="005E5A51" w:rsidP="009B69CD">
      <w:pPr>
        <w:pStyle w:val="REG-Pa"/>
      </w:pPr>
      <w:r w:rsidRPr="00316A7E">
        <w:t>(b)</w:t>
      </w:r>
      <w:r w:rsidRPr="00316A7E">
        <w:tab/>
        <w:t>the portion of the cash price or any other consideration which shall be paid or delivered as an initial payment or initial rental under such credit agreements as prescribed in column 2 of the Annexure.</w:t>
      </w:r>
    </w:p>
    <w:p w:rsidR="00B65018" w:rsidRDefault="00B65018" w:rsidP="00316A7E">
      <w:pPr>
        <w:pStyle w:val="REG-P0"/>
      </w:pPr>
    </w:p>
    <w:p w:rsidR="00B65018" w:rsidRPr="009B69CD" w:rsidRDefault="005E5A51" w:rsidP="00316A7E">
      <w:pPr>
        <w:pStyle w:val="REG-P0"/>
        <w:rPr>
          <w:b/>
        </w:rPr>
      </w:pPr>
      <w:r w:rsidRPr="009B69CD">
        <w:rPr>
          <w:b/>
        </w:rPr>
        <w:t>Conditions in relation to credit agreements</w:t>
      </w:r>
    </w:p>
    <w:p w:rsidR="00B65018" w:rsidRDefault="00B65018" w:rsidP="00316A7E">
      <w:pPr>
        <w:pStyle w:val="REG-P0"/>
      </w:pPr>
    </w:p>
    <w:p w:rsidR="00B65018" w:rsidRPr="006B4FD8" w:rsidRDefault="003D23AD" w:rsidP="003D23AD">
      <w:pPr>
        <w:pStyle w:val="REG-P1"/>
      </w:pPr>
      <w:r w:rsidRPr="006B4FD8">
        <w:rPr>
          <w:b/>
        </w:rPr>
        <w:t>3.</w:t>
      </w:r>
      <w:r w:rsidRPr="006B4FD8">
        <w:tab/>
        <w:t>(1</w:t>
      </w:r>
      <w:r w:rsidR="005E5A51" w:rsidRPr="006B4FD8">
        <w:t>)</w:t>
      </w:r>
      <w:r w:rsidRPr="006B4FD8">
        <w:tab/>
      </w:r>
      <w:r w:rsidR="005E5A51" w:rsidRPr="006B4FD8">
        <w:t xml:space="preserve">In the case of a leasing transaction in respect of any of the goods mentioned in items </w:t>
      </w:r>
      <w:r w:rsidR="00811141" w:rsidRPr="006B4FD8">
        <w:t>3, 7 and</w:t>
      </w:r>
      <w:r w:rsidR="00507A9E" w:rsidRPr="006B4FD8">
        <w:t xml:space="preserve"> </w:t>
      </w:r>
      <w:r w:rsidR="00811141" w:rsidRPr="006B4FD8">
        <w:t>8</w:t>
      </w:r>
      <w:r w:rsidR="005E5A51" w:rsidRPr="006B4FD8">
        <w:t xml:space="preserve"> of column </w:t>
      </w:r>
      <w:r w:rsidR="00DA3697">
        <w:t>1</w:t>
      </w:r>
      <w:r w:rsidR="005E5A51" w:rsidRPr="006B4FD8">
        <w:t xml:space="preserve"> of the Annexure </w:t>
      </w:r>
      <w:r w:rsidR="0098586A" w:rsidRPr="006B4FD8">
        <w:t>-</w:t>
      </w:r>
    </w:p>
    <w:p w:rsidR="00B417C8" w:rsidRDefault="00B417C8" w:rsidP="003D23AD">
      <w:pPr>
        <w:pStyle w:val="REG-P1"/>
      </w:pPr>
    </w:p>
    <w:p w:rsidR="00B65018" w:rsidRDefault="005E5A51" w:rsidP="00E90FD5">
      <w:pPr>
        <w:pStyle w:val="REG-Pa"/>
      </w:pPr>
      <w:r w:rsidRPr="00316A7E">
        <w:t>(a)</w:t>
      </w:r>
      <w:r w:rsidRPr="00316A7E">
        <w:tab/>
        <w:t>the parties shall at the time the leasing transaction is entered into, agree</w:t>
      </w:r>
      <w:r w:rsidR="0098586A">
        <w:t xml:space="preserve"> -</w:t>
      </w:r>
    </w:p>
    <w:p w:rsidR="00B65018" w:rsidRDefault="00B65018" w:rsidP="00316A7E">
      <w:pPr>
        <w:pStyle w:val="REG-P0"/>
      </w:pPr>
    </w:p>
    <w:p w:rsidR="00B65018" w:rsidRDefault="005E5A51" w:rsidP="00E90FD5">
      <w:pPr>
        <w:pStyle w:val="REG-Pi"/>
      </w:pPr>
      <w:r w:rsidRPr="00316A7E">
        <w:t>(i)</w:t>
      </w:r>
      <w:r w:rsidRPr="00316A7E">
        <w:tab/>
        <w:t>on the period of such leasing transaction; and</w:t>
      </w:r>
    </w:p>
    <w:p w:rsidR="00B65018" w:rsidRDefault="00B65018" w:rsidP="00316A7E">
      <w:pPr>
        <w:pStyle w:val="REG-P0"/>
      </w:pPr>
    </w:p>
    <w:p w:rsidR="00B65018" w:rsidRDefault="005E5A51" w:rsidP="00E90FD5">
      <w:pPr>
        <w:pStyle w:val="REG-Pi"/>
      </w:pPr>
      <w:r w:rsidRPr="00316A7E">
        <w:t>(ii)</w:t>
      </w:r>
      <w:r w:rsidRPr="00316A7E">
        <w:tab/>
        <w:t>on the amount of each instalment payable after the initial rental;</w:t>
      </w:r>
    </w:p>
    <w:p w:rsidR="00B65018" w:rsidRDefault="00B65018" w:rsidP="00316A7E">
      <w:pPr>
        <w:pStyle w:val="REG-P0"/>
      </w:pPr>
    </w:p>
    <w:p w:rsidR="00B65018" w:rsidRDefault="005E5A51" w:rsidP="00E90FD5">
      <w:pPr>
        <w:pStyle w:val="REG-Pa"/>
      </w:pPr>
      <w:r w:rsidRPr="00316A7E">
        <w:t>(b)</w:t>
      </w:r>
      <w:r w:rsidRPr="00316A7E">
        <w:tab/>
        <w:t>the initial rental shall be equal to at least 10 per cent of the total rental payable for the period of the leasing transaction (but excluding all finance charges, if any) under such leasing transaction;</w:t>
      </w:r>
    </w:p>
    <w:p w:rsidR="00B65018" w:rsidRDefault="00B65018" w:rsidP="00316A7E">
      <w:pPr>
        <w:pStyle w:val="REG-P0"/>
      </w:pPr>
    </w:p>
    <w:p w:rsidR="00B65018" w:rsidRDefault="005E5A51" w:rsidP="003F7976">
      <w:pPr>
        <w:pStyle w:val="REG-Pa"/>
      </w:pPr>
      <w:r w:rsidRPr="00316A7E">
        <w:t>(c)</w:t>
      </w:r>
      <w:r w:rsidRPr="00316A7E">
        <w:tab/>
        <w:t>the initial rental referred to in paragraph (b) shall be refunded to the credit receiver on the expiry or the termination of the leasing transaction or set off against the last instalments in respect of the leasing transaction;</w:t>
      </w:r>
    </w:p>
    <w:p w:rsidR="00B65018" w:rsidRDefault="00B65018" w:rsidP="00316A7E">
      <w:pPr>
        <w:pStyle w:val="REG-P0"/>
      </w:pPr>
    </w:p>
    <w:p w:rsidR="00B65018" w:rsidRDefault="005E5A51" w:rsidP="003F7976">
      <w:pPr>
        <w:pStyle w:val="REG-Pa"/>
      </w:pPr>
      <w:r w:rsidRPr="00316A7E">
        <w:t>(d)</w:t>
      </w:r>
      <w:r w:rsidRPr="00316A7E">
        <w:tab/>
        <w:t>where finance charges are not levied under the provisions of the Limitation and Disclosure of Finance Charges Act, 1968 (Act 73 of 1968), the period of the leasing transaction shall not be more than 30 months unless the parties thereto have the right to terminate such leasing transaction at any time after 30 months by giving 30 days notice in writing;</w:t>
      </w:r>
    </w:p>
    <w:p w:rsidR="00B65018" w:rsidRDefault="00B65018" w:rsidP="00316A7E">
      <w:pPr>
        <w:pStyle w:val="REG-P0"/>
      </w:pPr>
    </w:p>
    <w:p w:rsidR="00B65018" w:rsidRDefault="005E5A51" w:rsidP="00E71FED">
      <w:pPr>
        <w:pStyle w:val="REG-Pa"/>
      </w:pPr>
      <w:r w:rsidRPr="00316A7E">
        <w:t>(e)</w:t>
      </w:r>
      <w:r w:rsidRPr="00316A7E">
        <w:tab/>
        <w:t xml:space="preserve">the first of the instalments referred to </w:t>
      </w:r>
      <w:r w:rsidR="00E71FED">
        <w:t>i</w:t>
      </w:r>
      <w:r w:rsidRPr="00316A7E">
        <w:t>n paragraph (a)(ii) shall be payable not later than the end of the month following the month in which delivery was effected;</w:t>
      </w:r>
    </w:p>
    <w:p w:rsidR="00B65018" w:rsidRDefault="00B65018" w:rsidP="00316A7E">
      <w:pPr>
        <w:pStyle w:val="REG-P0"/>
      </w:pPr>
    </w:p>
    <w:p w:rsidR="00B65018" w:rsidRDefault="005E5A51" w:rsidP="004A0977">
      <w:pPr>
        <w:pStyle w:val="REG-Pa"/>
      </w:pPr>
      <w:r w:rsidRPr="00316A7E">
        <w:t>(</w:t>
      </w:r>
      <w:r w:rsidR="004A0977">
        <w:t>f</w:t>
      </w:r>
      <w:r w:rsidRPr="00316A7E">
        <w:t>)</w:t>
      </w:r>
      <w:r w:rsidR="004A0977">
        <w:tab/>
      </w:r>
      <w:r w:rsidRPr="00316A7E">
        <w:t>the credit grantor under such leasing transaction shall, during the currency of the leasing transaction, be responsible for the maintenance of the goods.</w:t>
      </w:r>
    </w:p>
    <w:p w:rsidR="00B65018" w:rsidRDefault="00B65018" w:rsidP="00316A7E">
      <w:pPr>
        <w:pStyle w:val="REG-P0"/>
      </w:pPr>
    </w:p>
    <w:p w:rsidR="00F63262" w:rsidRDefault="00F63262" w:rsidP="00F63262">
      <w:pPr>
        <w:pStyle w:val="AS-P-Amend"/>
      </w:pPr>
      <w:r>
        <w:t>[subregulation (1) amended by GN 1/1986 and by GN 177/1992]</w:t>
      </w:r>
    </w:p>
    <w:p w:rsidR="00F63262" w:rsidRDefault="00F63262" w:rsidP="00F63262">
      <w:pPr>
        <w:pStyle w:val="REG-P0"/>
      </w:pPr>
    </w:p>
    <w:p w:rsidR="00B65018" w:rsidRDefault="005E5A51" w:rsidP="008B0428">
      <w:pPr>
        <w:pStyle w:val="REG-P1"/>
      </w:pPr>
      <w:r w:rsidRPr="00316A7E">
        <w:t>(2)</w:t>
      </w:r>
      <w:r w:rsidR="008B0428">
        <w:tab/>
      </w:r>
      <w:r w:rsidRPr="00316A7E">
        <w:t xml:space="preserve">No credit agreements shall be entered into by a credit grantor subject to the conditions that </w:t>
      </w:r>
      <w:r w:rsidR="0098586A">
        <w:t>-</w:t>
      </w:r>
    </w:p>
    <w:p w:rsidR="00B65018" w:rsidRDefault="00B65018" w:rsidP="00316A7E">
      <w:pPr>
        <w:pStyle w:val="REG-P0"/>
      </w:pPr>
    </w:p>
    <w:p w:rsidR="00B65018" w:rsidRDefault="005E5A51" w:rsidP="000A5531">
      <w:pPr>
        <w:pStyle w:val="REG-Pa"/>
      </w:pPr>
      <w:r w:rsidRPr="00316A7E">
        <w:t>(a)</w:t>
      </w:r>
      <w:r w:rsidRPr="00316A7E">
        <w:tab/>
        <w:t>payments, other than the initial payment or initial rental under the said agreement, are to be made to the credit grantor before the goods are delivered: Provided that this prohibition shall not apply to any credit agreement providing for the goods in question to be imported into the territory as per order of or be manufactured according to the written requirements of the prospective credit receiver;</w:t>
      </w:r>
    </w:p>
    <w:p w:rsidR="00B65018" w:rsidRDefault="00B65018" w:rsidP="00316A7E">
      <w:pPr>
        <w:pStyle w:val="REG-P0"/>
      </w:pPr>
    </w:p>
    <w:p w:rsidR="00B65018" w:rsidRDefault="005E5A51" w:rsidP="000A5531">
      <w:pPr>
        <w:pStyle w:val="REG-Pa"/>
      </w:pPr>
      <w:r w:rsidRPr="00316A7E">
        <w:t>(b)</w:t>
      </w:r>
      <w:r w:rsidRPr="00316A7E">
        <w:tab/>
        <w:t>the amount of anyone instalment payable under the said agreement after the initial payment or initial rental differs by more than 10 per cent from any of the other instalments, excluding the final instalment which may be smaller than the amount of that one instalment: Provided that the provisions of this regulation shall not apply to a credit agreement referred to in regulations 3(2) and 4.</w:t>
      </w:r>
    </w:p>
    <w:p w:rsidR="00B65018" w:rsidRDefault="00B65018" w:rsidP="00316A7E">
      <w:pPr>
        <w:pStyle w:val="REG-P0"/>
      </w:pPr>
    </w:p>
    <w:p w:rsidR="00B65018" w:rsidRPr="00444A80" w:rsidRDefault="005E5A51" w:rsidP="00316A7E">
      <w:pPr>
        <w:pStyle w:val="REG-P0"/>
        <w:rPr>
          <w:b/>
        </w:rPr>
      </w:pPr>
      <w:r w:rsidRPr="00444A80">
        <w:rPr>
          <w:b/>
        </w:rPr>
        <w:t>Application of these regulations</w:t>
      </w:r>
    </w:p>
    <w:p w:rsidR="00B65018" w:rsidRDefault="00B65018" w:rsidP="00316A7E">
      <w:pPr>
        <w:pStyle w:val="REG-P0"/>
      </w:pPr>
    </w:p>
    <w:p w:rsidR="00B417C8" w:rsidRDefault="00444A80" w:rsidP="00444A80">
      <w:pPr>
        <w:pStyle w:val="REG-P1"/>
      </w:pPr>
      <w:r w:rsidRPr="006B4FD8">
        <w:rPr>
          <w:b/>
        </w:rPr>
        <w:t>4.</w:t>
      </w:r>
      <w:r w:rsidRPr="006B4FD8">
        <w:tab/>
        <w:t>(1)</w:t>
      </w:r>
      <w:r w:rsidRPr="006B4FD8">
        <w:tab/>
      </w:r>
    </w:p>
    <w:p w:rsidR="001C1DDA" w:rsidRDefault="001C1DDA" w:rsidP="00444A80">
      <w:pPr>
        <w:pStyle w:val="REG-P1"/>
      </w:pPr>
    </w:p>
    <w:p w:rsidR="00B65018" w:rsidRDefault="00507A9E" w:rsidP="00507A9E">
      <w:pPr>
        <w:pStyle w:val="AS-P-Amend"/>
      </w:pPr>
      <w:r>
        <w:t>[</w:t>
      </w:r>
      <w:r w:rsidR="001C1DDA">
        <w:t>S</w:t>
      </w:r>
      <w:r w:rsidR="00A741FD">
        <w:t xml:space="preserve">ubregulation (1) </w:t>
      </w:r>
      <w:r w:rsidR="001C1DDA">
        <w:t xml:space="preserve">is </w:t>
      </w:r>
      <w:r w:rsidR="00680F63">
        <w:t>amended</w:t>
      </w:r>
      <w:r w:rsidR="00A741FD">
        <w:t xml:space="preserve"> by GN 1/</w:t>
      </w:r>
      <w:r>
        <w:t>1986</w:t>
      </w:r>
      <w:r w:rsidR="00680F63">
        <w:t xml:space="preserve"> and </w:t>
      </w:r>
      <w:r w:rsidR="00F63262">
        <w:t xml:space="preserve">by </w:t>
      </w:r>
      <w:r w:rsidR="00680F63">
        <w:t>GN 177/1992</w:t>
      </w:r>
      <w:r w:rsidR="001C1DDA">
        <w:t>, and deleted by GN 97/2017.</w:t>
      </w:r>
      <w:r>
        <w:t>]</w:t>
      </w:r>
    </w:p>
    <w:p w:rsidR="00112851" w:rsidRPr="006B4FD8" w:rsidRDefault="00112851" w:rsidP="00507A9E">
      <w:pPr>
        <w:pStyle w:val="AS-P-Amend"/>
        <w:rPr>
          <w:color w:val="auto"/>
        </w:rPr>
      </w:pPr>
    </w:p>
    <w:p w:rsidR="00B65018" w:rsidRDefault="005E5A51" w:rsidP="001C1DDA">
      <w:pPr>
        <w:pStyle w:val="REG-P1"/>
      </w:pPr>
      <w:r w:rsidRPr="006B4FD8">
        <w:t>(2)</w:t>
      </w:r>
      <w:r w:rsidRPr="006B4FD8">
        <w:tab/>
      </w:r>
    </w:p>
    <w:p w:rsidR="00B65018" w:rsidRDefault="00B65018" w:rsidP="00316A7E">
      <w:pPr>
        <w:pStyle w:val="REG-P0"/>
      </w:pPr>
    </w:p>
    <w:p w:rsidR="00F63262" w:rsidRDefault="00F63262" w:rsidP="00F63262">
      <w:pPr>
        <w:pStyle w:val="AS-P-Amend"/>
      </w:pPr>
      <w:r>
        <w:t>[</w:t>
      </w:r>
      <w:r w:rsidR="001C1DDA">
        <w:t>S</w:t>
      </w:r>
      <w:r>
        <w:t xml:space="preserve">ubregulation (2) </w:t>
      </w:r>
      <w:r w:rsidR="001C1DDA">
        <w:t xml:space="preserve">is </w:t>
      </w:r>
      <w:r>
        <w:t>amended by GN 1/1986 and by GN 177/1992</w:t>
      </w:r>
      <w:r w:rsidR="001C1DDA">
        <w:t xml:space="preserve">, </w:t>
      </w:r>
      <w:r w:rsidR="001C1DDA">
        <w:t>and deleted by GN 97/2017.]</w:t>
      </w:r>
    </w:p>
    <w:p w:rsidR="00F63262" w:rsidRDefault="00F63262" w:rsidP="00316A7E">
      <w:pPr>
        <w:pStyle w:val="REG-P0"/>
      </w:pPr>
    </w:p>
    <w:p w:rsidR="00B65018" w:rsidRDefault="005E5A51" w:rsidP="00F839F0">
      <w:pPr>
        <w:pStyle w:val="REG-P1"/>
      </w:pPr>
      <w:r w:rsidRPr="006B4FD8">
        <w:t>(3)</w:t>
      </w:r>
      <w:r w:rsidRPr="006B4FD8">
        <w:tab/>
      </w:r>
    </w:p>
    <w:p w:rsidR="00B417C8" w:rsidRDefault="00B417C8" w:rsidP="00F839F0">
      <w:pPr>
        <w:pStyle w:val="REG-P1"/>
      </w:pPr>
    </w:p>
    <w:p w:rsidR="00507A9E" w:rsidRDefault="00507A9E" w:rsidP="00507A9E">
      <w:pPr>
        <w:pStyle w:val="AS-P-Amend"/>
      </w:pPr>
      <w:r>
        <w:t>[</w:t>
      </w:r>
      <w:r w:rsidR="001C1DDA">
        <w:t>S</w:t>
      </w:r>
      <w:r w:rsidR="00764BD8">
        <w:t xml:space="preserve">ubregulation (3) </w:t>
      </w:r>
      <w:r w:rsidR="001C1DDA">
        <w:t xml:space="preserve">is </w:t>
      </w:r>
      <w:r w:rsidR="001118D9">
        <w:t>amended</w:t>
      </w:r>
      <w:r w:rsidR="00764BD8">
        <w:t xml:space="preserve"> by GN 1/</w:t>
      </w:r>
      <w:r>
        <w:t>1986</w:t>
      </w:r>
      <w:r w:rsidR="001118D9">
        <w:t xml:space="preserve"> and </w:t>
      </w:r>
      <w:r w:rsidR="00F63262">
        <w:t xml:space="preserve">by </w:t>
      </w:r>
      <w:r w:rsidR="001118D9">
        <w:t>GN 177/1992</w:t>
      </w:r>
      <w:r w:rsidR="001C1DDA">
        <w:t xml:space="preserve">, </w:t>
      </w:r>
      <w:r w:rsidR="001C1DDA">
        <w:t>and deleted by GN 97/2017.</w:t>
      </w:r>
      <w:r>
        <w:t>]</w:t>
      </w:r>
    </w:p>
    <w:p w:rsidR="00112851" w:rsidRDefault="00112851" w:rsidP="00507A9E">
      <w:pPr>
        <w:pStyle w:val="AS-P-Amend"/>
      </w:pPr>
    </w:p>
    <w:p w:rsidR="00B65018" w:rsidRDefault="005E5A51" w:rsidP="002A284D">
      <w:pPr>
        <w:pStyle w:val="REG-P1"/>
      </w:pPr>
      <w:r w:rsidRPr="00316A7E">
        <w:t>(4)</w:t>
      </w:r>
      <w:r w:rsidRPr="00316A7E">
        <w:tab/>
        <w:t>Any person who supplies or acquires goods to which the Act applies under a scheme or an arrangement by means of which</w:t>
      </w:r>
      <w:r w:rsidR="0098586A">
        <w:t xml:space="preserve"> -</w:t>
      </w:r>
    </w:p>
    <w:p w:rsidR="00B65018" w:rsidRDefault="00B65018" w:rsidP="00316A7E">
      <w:pPr>
        <w:pStyle w:val="REG-P0"/>
      </w:pPr>
    </w:p>
    <w:p w:rsidR="00B65018" w:rsidRDefault="005E5A51" w:rsidP="00051041">
      <w:pPr>
        <w:pStyle w:val="REG-Pa"/>
      </w:pPr>
      <w:r w:rsidRPr="00316A7E">
        <w:t>(a)</w:t>
      </w:r>
      <w:r w:rsidRPr="00316A7E">
        <w:tab/>
        <w:t>payment for the goods is to be made to the supplier by a person other than the purchaser and by means of which payments a debt arises which is to be paid by the purchaser or a person on his behalf in instalments over a period in the future to a person other than the supplier; or</w:t>
      </w:r>
    </w:p>
    <w:p w:rsidR="00B65018" w:rsidRDefault="00B65018" w:rsidP="00316A7E">
      <w:pPr>
        <w:pStyle w:val="REG-P0"/>
      </w:pPr>
    </w:p>
    <w:p w:rsidR="00051041" w:rsidRDefault="005E5A51" w:rsidP="00051041">
      <w:pPr>
        <w:pStyle w:val="REG-Pa"/>
      </w:pPr>
      <w:r w:rsidRPr="00316A7E">
        <w:t>(b)</w:t>
      </w:r>
      <w:r w:rsidRPr="00316A7E">
        <w:tab/>
        <w:t>the person making any payment to a supplier receives any consideration of whatever nature, under such scheme or arrangement, from any person other than the person acquiring such goods;</w:t>
      </w:r>
    </w:p>
    <w:p w:rsidR="00051041" w:rsidRDefault="00051041" w:rsidP="00051041">
      <w:pPr>
        <w:pStyle w:val="REG-P0"/>
      </w:pPr>
    </w:p>
    <w:p w:rsidR="00B65018" w:rsidRDefault="005E5A51" w:rsidP="00051041">
      <w:pPr>
        <w:pStyle w:val="REG-P0"/>
      </w:pPr>
      <w:r w:rsidRPr="00316A7E">
        <w:t>shall comply with all the provisions of these regulations if the period over which such debt is to be paid exceeds three months.</w:t>
      </w:r>
    </w:p>
    <w:p w:rsidR="00B65018" w:rsidRDefault="00B65018" w:rsidP="00316A7E">
      <w:pPr>
        <w:pStyle w:val="REG-P0"/>
      </w:pPr>
    </w:p>
    <w:p w:rsidR="00B65018" w:rsidRPr="00051041" w:rsidRDefault="005E5A51" w:rsidP="00316A7E">
      <w:pPr>
        <w:pStyle w:val="REG-P0"/>
        <w:rPr>
          <w:b/>
        </w:rPr>
      </w:pPr>
      <w:r w:rsidRPr="00051041">
        <w:rPr>
          <w:b/>
        </w:rPr>
        <w:t>Commencement</w:t>
      </w:r>
    </w:p>
    <w:p w:rsidR="00B65018" w:rsidRDefault="00B65018" w:rsidP="00316A7E">
      <w:pPr>
        <w:pStyle w:val="REG-P0"/>
      </w:pPr>
    </w:p>
    <w:p w:rsidR="00B65018" w:rsidRDefault="005E5A51" w:rsidP="00051041">
      <w:pPr>
        <w:pStyle w:val="REG-P1"/>
      </w:pPr>
      <w:r w:rsidRPr="00051041">
        <w:rPr>
          <w:b/>
        </w:rPr>
        <w:t>5.</w:t>
      </w:r>
      <w:r w:rsidRPr="00316A7E">
        <w:tab/>
        <w:t>These regulations shall commence on 1 July 1981.</w:t>
      </w:r>
    </w:p>
    <w:p w:rsidR="00B65018" w:rsidRDefault="00B65018" w:rsidP="00316A7E">
      <w:pPr>
        <w:pStyle w:val="REG-P0"/>
      </w:pPr>
    </w:p>
    <w:p w:rsidR="00B65018" w:rsidRDefault="005E5A51" w:rsidP="00E80985">
      <w:pPr>
        <w:pStyle w:val="REG-H3A"/>
      </w:pPr>
      <w:r w:rsidRPr="00316A7E">
        <w:t>ANNEXURE</w:t>
      </w:r>
    </w:p>
    <w:p w:rsidR="00112851" w:rsidRDefault="00112851" w:rsidP="00E80985">
      <w:pPr>
        <w:pStyle w:val="REG-H3A"/>
      </w:pPr>
    </w:p>
    <w:p w:rsidR="00112851" w:rsidRDefault="00112851" w:rsidP="00112851">
      <w:pPr>
        <w:pStyle w:val="AS-P-Amend"/>
      </w:pPr>
      <w:r w:rsidRPr="00230BFE">
        <w:t>[An</w:t>
      </w:r>
      <w:r w:rsidR="000D6BDE" w:rsidRPr="00230BFE">
        <w:t xml:space="preserve">nexure substituted by GN 118/1984, </w:t>
      </w:r>
      <w:r w:rsidR="00ED638E" w:rsidRPr="00230BFE">
        <w:t xml:space="preserve">amended by </w:t>
      </w:r>
      <w:r w:rsidR="00810F3B" w:rsidRPr="00230BFE">
        <w:t>AG</w:t>
      </w:r>
      <w:r w:rsidR="000D6BDE" w:rsidRPr="00230BFE">
        <w:t xml:space="preserve"> </w:t>
      </w:r>
      <w:r w:rsidR="005C2B80">
        <w:t xml:space="preserve">GN </w:t>
      </w:r>
      <w:r w:rsidR="000D6BDE" w:rsidRPr="00230BFE">
        <w:t>47/</w:t>
      </w:r>
      <w:r w:rsidR="00043AF5" w:rsidRPr="00230BFE">
        <w:t xml:space="preserve">1985, </w:t>
      </w:r>
      <w:r w:rsidR="00F63262" w:rsidRPr="00230BFE">
        <w:t xml:space="preserve">and </w:t>
      </w:r>
      <w:r w:rsidR="005C2B80">
        <w:br/>
      </w:r>
      <w:r w:rsidR="00DA3697" w:rsidRPr="00230BFE">
        <w:t xml:space="preserve">substituted by </w:t>
      </w:r>
      <w:r w:rsidR="00043AF5" w:rsidRPr="00230BFE">
        <w:t>GN 1/</w:t>
      </w:r>
      <w:r w:rsidR="00F91C76" w:rsidRPr="00230BFE">
        <w:t xml:space="preserve">1986, </w:t>
      </w:r>
      <w:r w:rsidR="006B4FD8" w:rsidRPr="00230BFE">
        <w:t>GN 177/</w:t>
      </w:r>
      <w:r w:rsidRPr="00230BFE">
        <w:t>1992</w:t>
      </w:r>
      <w:r w:rsidR="00F91C76" w:rsidRPr="00230BFE">
        <w:t>, GN 142/2016</w:t>
      </w:r>
      <w:r w:rsidR="00230BFE" w:rsidRPr="00230BFE">
        <w:t xml:space="preserve"> and GN 218/2020</w:t>
      </w:r>
      <w:r w:rsidRPr="00230BFE">
        <w:t>]</w:t>
      </w:r>
    </w:p>
    <w:p w:rsidR="00B65018" w:rsidRDefault="00B65018" w:rsidP="00316A7E">
      <w:pPr>
        <w:pStyle w:val="REG-P0"/>
      </w:pPr>
    </w:p>
    <w:tbl>
      <w:tblPr>
        <w:tblStyle w:val="TableGrid"/>
        <w:tblW w:w="8039" w:type="dxa"/>
        <w:tblInd w:w="108" w:type="dxa"/>
        <w:tblLook w:val="04A0" w:firstRow="1" w:lastRow="0" w:firstColumn="1" w:lastColumn="0" w:noHBand="0" w:noVBand="1"/>
      </w:tblPr>
      <w:tblGrid>
        <w:gridCol w:w="5132"/>
        <w:gridCol w:w="1453"/>
        <w:gridCol w:w="1454"/>
      </w:tblGrid>
      <w:tr w:rsidR="00230BFE" w:rsidRPr="006B4FD8" w:rsidTr="009F570B">
        <w:tc>
          <w:tcPr>
            <w:tcW w:w="5132" w:type="dxa"/>
          </w:tcPr>
          <w:p w:rsidR="00230BFE" w:rsidRPr="00230BFE" w:rsidRDefault="00230BFE" w:rsidP="00230BFE">
            <w:pPr>
              <w:pStyle w:val="REG-P0"/>
              <w:jc w:val="left"/>
              <w:rPr>
                <w:b/>
                <w:sz w:val="20"/>
              </w:rPr>
            </w:pPr>
            <w:r w:rsidRPr="00230BFE">
              <w:rPr>
                <w:b/>
                <w:sz w:val="20"/>
              </w:rPr>
              <w:t>COLUMN 1</w:t>
            </w:r>
          </w:p>
        </w:tc>
        <w:tc>
          <w:tcPr>
            <w:tcW w:w="1453" w:type="dxa"/>
          </w:tcPr>
          <w:p w:rsidR="00230BFE" w:rsidRPr="00230BFE" w:rsidRDefault="00230BFE" w:rsidP="00230BFE">
            <w:pPr>
              <w:jc w:val="center"/>
              <w:rPr>
                <w:b/>
                <w:sz w:val="20"/>
              </w:rPr>
            </w:pPr>
            <w:r w:rsidRPr="00230BFE">
              <w:rPr>
                <w:b/>
                <w:sz w:val="20"/>
              </w:rPr>
              <w:t>COLUMN 2</w:t>
            </w:r>
          </w:p>
        </w:tc>
        <w:tc>
          <w:tcPr>
            <w:tcW w:w="1454" w:type="dxa"/>
          </w:tcPr>
          <w:p w:rsidR="00230BFE" w:rsidRPr="00230BFE" w:rsidRDefault="00230BFE" w:rsidP="00230BFE">
            <w:pPr>
              <w:jc w:val="center"/>
              <w:rPr>
                <w:b/>
                <w:sz w:val="20"/>
              </w:rPr>
            </w:pPr>
            <w:r w:rsidRPr="00230BFE">
              <w:rPr>
                <w:b/>
                <w:sz w:val="20"/>
              </w:rPr>
              <w:t>COLUMN 3</w:t>
            </w:r>
          </w:p>
        </w:tc>
      </w:tr>
      <w:tr w:rsidR="00230BFE" w:rsidRPr="006B4FD8" w:rsidTr="009F570B">
        <w:tc>
          <w:tcPr>
            <w:tcW w:w="5132" w:type="dxa"/>
            <w:vMerge w:val="restart"/>
          </w:tcPr>
          <w:p w:rsidR="00230BFE" w:rsidRPr="00230BFE" w:rsidRDefault="00230BFE" w:rsidP="00230BFE">
            <w:pPr>
              <w:pStyle w:val="REG-P0"/>
              <w:jc w:val="left"/>
              <w:rPr>
                <w:b/>
                <w:sz w:val="20"/>
              </w:rPr>
            </w:pPr>
            <w:r w:rsidRPr="00230BFE">
              <w:rPr>
                <w:b/>
                <w:sz w:val="20"/>
              </w:rPr>
              <w:t>Type of Goods</w:t>
            </w:r>
          </w:p>
        </w:tc>
        <w:tc>
          <w:tcPr>
            <w:tcW w:w="1453" w:type="dxa"/>
          </w:tcPr>
          <w:p w:rsidR="00230BFE" w:rsidRPr="00230BFE" w:rsidRDefault="00230BFE" w:rsidP="00230BFE">
            <w:pPr>
              <w:pStyle w:val="REG-P0"/>
              <w:jc w:val="left"/>
              <w:rPr>
                <w:b/>
                <w:sz w:val="20"/>
              </w:rPr>
            </w:pPr>
            <w:r w:rsidRPr="00230BFE">
              <w:rPr>
                <w:b/>
                <w:sz w:val="20"/>
              </w:rPr>
              <w:t>Portion of the cash price</w:t>
            </w:r>
          </w:p>
        </w:tc>
        <w:tc>
          <w:tcPr>
            <w:tcW w:w="1454" w:type="dxa"/>
          </w:tcPr>
          <w:p w:rsidR="00230BFE" w:rsidRPr="00230BFE" w:rsidRDefault="00230BFE" w:rsidP="00230BFE">
            <w:pPr>
              <w:pStyle w:val="REG-P0"/>
              <w:jc w:val="left"/>
              <w:rPr>
                <w:b/>
                <w:sz w:val="20"/>
              </w:rPr>
            </w:pPr>
            <w:r w:rsidRPr="00230BFE">
              <w:rPr>
                <w:b/>
                <w:sz w:val="20"/>
              </w:rPr>
              <w:t>Period of payment</w:t>
            </w:r>
          </w:p>
        </w:tc>
      </w:tr>
      <w:tr w:rsidR="00230BFE" w:rsidRPr="006B4FD8" w:rsidTr="009F570B">
        <w:tc>
          <w:tcPr>
            <w:tcW w:w="5132" w:type="dxa"/>
            <w:vMerge/>
          </w:tcPr>
          <w:p w:rsidR="00230BFE" w:rsidRPr="006B4FD8" w:rsidRDefault="00230BFE" w:rsidP="0098586A">
            <w:pPr>
              <w:rPr>
                <w:sz w:val="20"/>
              </w:rPr>
            </w:pPr>
          </w:p>
        </w:tc>
        <w:tc>
          <w:tcPr>
            <w:tcW w:w="1453" w:type="dxa"/>
          </w:tcPr>
          <w:p w:rsidR="00230BFE" w:rsidRPr="00230BFE" w:rsidRDefault="00230BFE" w:rsidP="00230BFE">
            <w:pPr>
              <w:pStyle w:val="REG-P0"/>
              <w:jc w:val="left"/>
              <w:rPr>
                <w:b/>
                <w:sz w:val="20"/>
              </w:rPr>
            </w:pPr>
            <w:r w:rsidRPr="00230BFE">
              <w:rPr>
                <w:b/>
                <w:sz w:val="20"/>
              </w:rPr>
              <w:t>Per cent</w:t>
            </w:r>
            <w:r>
              <w:rPr>
                <w:b/>
                <w:sz w:val="20"/>
              </w:rPr>
              <w:t xml:space="preserve"> %</w:t>
            </w:r>
          </w:p>
        </w:tc>
        <w:tc>
          <w:tcPr>
            <w:tcW w:w="1454" w:type="dxa"/>
          </w:tcPr>
          <w:p w:rsidR="00230BFE" w:rsidRPr="00230BFE" w:rsidRDefault="00230BFE" w:rsidP="00230BFE">
            <w:pPr>
              <w:pStyle w:val="REG-P0"/>
              <w:jc w:val="left"/>
              <w:rPr>
                <w:b/>
                <w:sz w:val="20"/>
              </w:rPr>
            </w:pPr>
            <w:r w:rsidRPr="00230BFE">
              <w:rPr>
                <w:b/>
                <w:sz w:val="20"/>
              </w:rPr>
              <w:t>Months from date of delivery</w:t>
            </w:r>
          </w:p>
        </w:tc>
      </w:tr>
      <w:tr w:rsidR="00230BFE" w:rsidRPr="006B4FD8" w:rsidTr="009F570B">
        <w:tc>
          <w:tcPr>
            <w:tcW w:w="5132" w:type="dxa"/>
          </w:tcPr>
          <w:p w:rsidR="00230BFE" w:rsidRPr="009F570B" w:rsidRDefault="00230BFE" w:rsidP="009F570B">
            <w:pPr>
              <w:pStyle w:val="REG-P0"/>
              <w:jc w:val="left"/>
              <w:rPr>
                <w:sz w:val="20"/>
              </w:rPr>
            </w:pPr>
            <w:r w:rsidRPr="009F570B">
              <w:rPr>
                <w:rFonts w:eastAsia="Calibri"/>
                <w:sz w:val="20"/>
                <w:lang w:val="en-ZA" w:eastAsia="en-US"/>
              </w:rPr>
              <w:t>1. Household furniture, including garden furniture, lawnmowers,</w:t>
            </w:r>
            <w:r w:rsidRPr="009F570B">
              <w:rPr>
                <w:rFonts w:eastAsia="Calibri"/>
                <w:sz w:val="20"/>
                <w:lang w:val="en-ZA" w:eastAsia="en-US"/>
              </w:rPr>
              <w:t xml:space="preserve"> </w:t>
            </w:r>
            <w:r w:rsidRPr="009F570B">
              <w:rPr>
                <w:rFonts w:eastAsia="Calibri"/>
                <w:sz w:val="20"/>
                <w:lang w:val="en-ZA" w:eastAsia="en-US"/>
              </w:rPr>
              <w:t>mattresses, floor carpets and floor rugs, irrespective of the material from</w:t>
            </w:r>
            <w:r w:rsidRPr="009F570B">
              <w:rPr>
                <w:rFonts w:eastAsia="Calibri"/>
                <w:sz w:val="20"/>
                <w:lang w:val="en-ZA" w:eastAsia="en-US"/>
              </w:rPr>
              <w:t xml:space="preserve"> </w:t>
            </w:r>
            <w:r w:rsidRPr="009F570B">
              <w:rPr>
                <w:rFonts w:eastAsia="Calibri"/>
                <w:sz w:val="20"/>
                <w:lang w:val="en-ZA" w:eastAsia="en-US"/>
              </w:rPr>
              <w:t>which these articles are manufactured</w:t>
            </w:r>
          </w:p>
        </w:tc>
        <w:tc>
          <w:tcPr>
            <w:tcW w:w="1453" w:type="dxa"/>
            <w:vAlign w:val="center"/>
          </w:tcPr>
          <w:p w:rsidR="00230BFE" w:rsidRPr="00230BFE" w:rsidRDefault="00230BFE" w:rsidP="00230BFE">
            <w:pPr>
              <w:pStyle w:val="REG-P0"/>
              <w:jc w:val="center"/>
              <w:rPr>
                <w:b/>
                <w:sz w:val="20"/>
              </w:rPr>
            </w:pPr>
            <w:r w:rsidRPr="00230BFE">
              <w:rPr>
                <w:b/>
                <w:sz w:val="20"/>
              </w:rPr>
              <w:t>10</w:t>
            </w:r>
          </w:p>
        </w:tc>
        <w:tc>
          <w:tcPr>
            <w:tcW w:w="1454" w:type="dxa"/>
            <w:vAlign w:val="center"/>
          </w:tcPr>
          <w:p w:rsidR="00230BFE" w:rsidRPr="00230BFE" w:rsidRDefault="00230BFE" w:rsidP="00230BFE">
            <w:pPr>
              <w:pStyle w:val="REG-P0"/>
              <w:jc w:val="center"/>
              <w:rPr>
                <w:b/>
                <w:sz w:val="20"/>
              </w:rPr>
            </w:pPr>
            <w:r w:rsidRPr="00230BFE">
              <w:rPr>
                <w:b/>
                <w:sz w:val="20"/>
              </w:rPr>
              <w:t>24</w:t>
            </w:r>
          </w:p>
        </w:tc>
      </w:tr>
      <w:tr w:rsidR="00230BFE" w:rsidRPr="006B4FD8" w:rsidTr="009F570B">
        <w:tc>
          <w:tcPr>
            <w:tcW w:w="5132" w:type="dxa"/>
          </w:tcPr>
          <w:p w:rsidR="00230BFE" w:rsidRPr="009F570B" w:rsidRDefault="00230BFE" w:rsidP="009F570B">
            <w:pPr>
              <w:pStyle w:val="REG-P0"/>
              <w:jc w:val="left"/>
              <w:rPr>
                <w:rFonts w:ascii="TimesNewRomanPS-BoldMT" w:eastAsia="Calibri" w:hAnsi="TimesNewRomanPS-BoldMT" w:cs="TimesNewRomanPS-BoldMT"/>
                <w:b/>
                <w:bCs/>
                <w:sz w:val="20"/>
                <w:lang w:eastAsia="en-US"/>
              </w:rPr>
            </w:pPr>
            <w:r w:rsidRPr="009F570B">
              <w:rPr>
                <w:rFonts w:eastAsia="Calibri"/>
                <w:sz w:val="20"/>
                <w:lang w:val="en-ZA" w:eastAsia="en-US"/>
              </w:rPr>
              <w:t xml:space="preserve">2. Electrical and non-electrical appliances for domestic use </w:t>
            </w:r>
          </w:p>
        </w:tc>
        <w:tc>
          <w:tcPr>
            <w:tcW w:w="1453" w:type="dxa"/>
            <w:vAlign w:val="center"/>
          </w:tcPr>
          <w:p w:rsidR="00230BFE" w:rsidRPr="00230BFE" w:rsidRDefault="00230BFE" w:rsidP="00230BFE">
            <w:pPr>
              <w:pStyle w:val="REG-P0"/>
              <w:jc w:val="center"/>
              <w:rPr>
                <w:b/>
                <w:sz w:val="20"/>
              </w:rPr>
            </w:pPr>
            <w:r w:rsidRPr="00230BFE">
              <w:rPr>
                <w:b/>
                <w:sz w:val="20"/>
              </w:rPr>
              <w:t>10</w:t>
            </w:r>
          </w:p>
        </w:tc>
        <w:tc>
          <w:tcPr>
            <w:tcW w:w="1454" w:type="dxa"/>
            <w:vAlign w:val="center"/>
          </w:tcPr>
          <w:p w:rsidR="00230BFE" w:rsidRPr="00230BFE" w:rsidRDefault="00230BFE" w:rsidP="00230BFE">
            <w:pPr>
              <w:pStyle w:val="REG-P0"/>
              <w:jc w:val="center"/>
              <w:rPr>
                <w:b/>
                <w:sz w:val="20"/>
              </w:rPr>
            </w:pPr>
            <w:r w:rsidRPr="00230BFE">
              <w:rPr>
                <w:b/>
                <w:sz w:val="20"/>
              </w:rPr>
              <w:t>24</w:t>
            </w:r>
          </w:p>
        </w:tc>
      </w:tr>
      <w:tr w:rsidR="00230BFE" w:rsidRPr="006B4FD8" w:rsidTr="009F570B">
        <w:tc>
          <w:tcPr>
            <w:tcW w:w="5132" w:type="dxa"/>
          </w:tcPr>
          <w:p w:rsidR="00230BFE" w:rsidRPr="009F570B" w:rsidRDefault="00230BFE" w:rsidP="009F570B">
            <w:pPr>
              <w:pStyle w:val="REG-P0"/>
              <w:jc w:val="left"/>
              <w:rPr>
                <w:rFonts w:eastAsia="Calibri"/>
                <w:sz w:val="20"/>
                <w:lang w:eastAsia="en-US"/>
              </w:rPr>
            </w:pPr>
            <w:r w:rsidRPr="009F570B">
              <w:rPr>
                <w:rFonts w:eastAsia="Calibri"/>
                <w:sz w:val="20"/>
                <w:lang w:val="en-ZA" w:eastAsia="en-US"/>
              </w:rPr>
              <w:t xml:space="preserve">3. Television receivers, accessories and parts thereof, but excluding </w:t>
            </w:r>
            <w:r w:rsidRPr="009F570B">
              <w:rPr>
                <w:rFonts w:eastAsia="Calibri"/>
                <w:sz w:val="20"/>
                <w:lang w:val="en-ZA" w:eastAsia="en-US"/>
              </w:rPr>
              <w:t>closed circuit television equipment</w:t>
            </w:r>
          </w:p>
        </w:tc>
        <w:tc>
          <w:tcPr>
            <w:tcW w:w="1453" w:type="dxa"/>
            <w:vAlign w:val="center"/>
          </w:tcPr>
          <w:p w:rsidR="00230BFE" w:rsidRPr="00230BFE" w:rsidRDefault="00230BFE" w:rsidP="00230BFE">
            <w:pPr>
              <w:pStyle w:val="REG-P0"/>
              <w:jc w:val="center"/>
              <w:rPr>
                <w:b/>
                <w:sz w:val="20"/>
              </w:rPr>
            </w:pPr>
            <w:r w:rsidRPr="00230BFE">
              <w:rPr>
                <w:b/>
                <w:sz w:val="20"/>
              </w:rPr>
              <w:t>10</w:t>
            </w:r>
          </w:p>
        </w:tc>
        <w:tc>
          <w:tcPr>
            <w:tcW w:w="1454" w:type="dxa"/>
            <w:vAlign w:val="center"/>
          </w:tcPr>
          <w:p w:rsidR="00230BFE" w:rsidRPr="00230BFE" w:rsidRDefault="00230BFE" w:rsidP="00230BFE">
            <w:pPr>
              <w:pStyle w:val="REG-P0"/>
              <w:jc w:val="center"/>
              <w:rPr>
                <w:b/>
                <w:sz w:val="20"/>
              </w:rPr>
            </w:pPr>
            <w:r w:rsidRPr="00230BFE">
              <w:rPr>
                <w:b/>
                <w:sz w:val="20"/>
              </w:rPr>
              <w:t>24</w:t>
            </w:r>
          </w:p>
        </w:tc>
      </w:tr>
      <w:tr w:rsidR="00230BFE" w:rsidRPr="006B4FD8" w:rsidTr="009F570B">
        <w:tc>
          <w:tcPr>
            <w:tcW w:w="5132" w:type="dxa"/>
          </w:tcPr>
          <w:p w:rsidR="00230BFE" w:rsidRPr="009F570B" w:rsidRDefault="00230BFE" w:rsidP="009F570B">
            <w:pPr>
              <w:pStyle w:val="REG-P0"/>
              <w:jc w:val="left"/>
              <w:rPr>
                <w:rFonts w:eastAsia="Calibri"/>
                <w:sz w:val="20"/>
                <w:lang w:eastAsia="en-US"/>
              </w:rPr>
            </w:pPr>
            <w:r w:rsidRPr="009F570B">
              <w:rPr>
                <w:rFonts w:eastAsia="Calibri"/>
                <w:sz w:val="20"/>
                <w:lang w:val="en-ZA" w:eastAsia="en-US"/>
              </w:rPr>
              <w:t xml:space="preserve">4. Radios and gramophones, sound recorders and reproducers, record </w:t>
            </w:r>
            <w:r w:rsidRPr="009F570B">
              <w:rPr>
                <w:rFonts w:eastAsia="Calibri"/>
                <w:sz w:val="20"/>
                <w:lang w:val="en-ZA" w:eastAsia="en-US"/>
              </w:rPr>
              <w:t>players, compact disc (CD), tape and wire decks, loud-speakers,</w:t>
            </w:r>
            <w:r w:rsidRPr="009F570B">
              <w:rPr>
                <w:rFonts w:eastAsia="Calibri"/>
                <w:sz w:val="20"/>
                <w:lang w:val="en-ZA" w:eastAsia="en-US"/>
              </w:rPr>
              <w:t xml:space="preserve"> </w:t>
            </w:r>
            <w:r w:rsidRPr="009F570B">
              <w:rPr>
                <w:rFonts w:eastAsia="Calibri"/>
                <w:sz w:val="20"/>
                <w:lang w:val="en-ZA" w:eastAsia="en-US"/>
              </w:rPr>
              <w:t>amplifiers, accessories and parts thereof for these articles</w:t>
            </w:r>
          </w:p>
        </w:tc>
        <w:tc>
          <w:tcPr>
            <w:tcW w:w="1453" w:type="dxa"/>
            <w:vAlign w:val="center"/>
          </w:tcPr>
          <w:p w:rsidR="00230BFE" w:rsidRPr="00230BFE" w:rsidRDefault="00230BFE" w:rsidP="00230BFE">
            <w:pPr>
              <w:pStyle w:val="REG-P0"/>
              <w:jc w:val="center"/>
              <w:rPr>
                <w:b/>
                <w:sz w:val="20"/>
              </w:rPr>
            </w:pPr>
            <w:r w:rsidRPr="00230BFE">
              <w:rPr>
                <w:b/>
                <w:sz w:val="20"/>
              </w:rPr>
              <w:t>10</w:t>
            </w:r>
          </w:p>
        </w:tc>
        <w:tc>
          <w:tcPr>
            <w:tcW w:w="1454" w:type="dxa"/>
            <w:vAlign w:val="center"/>
          </w:tcPr>
          <w:p w:rsidR="00230BFE" w:rsidRPr="00230BFE" w:rsidRDefault="00230BFE" w:rsidP="00230BFE">
            <w:pPr>
              <w:pStyle w:val="REG-P0"/>
              <w:jc w:val="center"/>
              <w:rPr>
                <w:b/>
                <w:sz w:val="20"/>
              </w:rPr>
            </w:pPr>
            <w:r w:rsidRPr="00230BFE">
              <w:rPr>
                <w:b/>
                <w:sz w:val="20"/>
              </w:rPr>
              <w:t>24</w:t>
            </w:r>
          </w:p>
        </w:tc>
      </w:tr>
      <w:tr w:rsidR="00230BFE" w:rsidRPr="006B4FD8" w:rsidTr="009F570B">
        <w:tc>
          <w:tcPr>
            <w:tcW w:w="5132" w:type="dxa"/>
          </w:tcPr>
          <w:p w:rsidR="00230BFE" w:rsidRPr="009F570B" w:rsidRDefault="00230BFE" w:rsidP="009F570B">
            <w:pPr>
              <w:pStyle w:val="REG-P0"/>
              <w:jc w:val="left"/>
              <w:rPr>
                <w:rFonts w:ascii="TimesNewRomanPS-BoldMT" w:eastAsia="Calibri" w:hAnsi="TimesNewRomanPS-BoldMT" w:cs="TimesNewRomanPS-BoldMT"/>
                <w:b/>
                <w:bCs/>
                <w:sz w:val="20"/>
                <w:lang w:eastAsia="en-US"/>
              </w:rPr>
            </w:pPr>
            <w:r w:rsidRPr="009F570B">
              <w:rPr>
                <w:rFonts w:eastAsia="Calibri"/>
                <w:sz w:val="20"/>
                <w:lang w:val="en-ZA" w:eastAsia="en-US"/>
              </w:rPr>
              <w:t xml:space="preserve">5. Jewellery, clocks and watches and parts thereof </w:t>
            </w:r>
          </w:p>
        </w:tc>
        <w:tc>
          <w:tcPr>
            <w:tcW w:w="1453" w:type="dxa"/>
            <w:vAlign w:val="center"/>
          </w:tcPr>
          <w:p w:rsidR="00230BFE" w:rsidRPr="00230BFE" w:rsidRDefault="00230BFE" w:rsidP="00230BFE">
            <w:pPr>
              <w:pStyle w:val="REG-P0"/>
              <w:jc w:val="center"/>
              <w:rPr>
                <w:b/>
                <w:sz w:val="20"/>
              </w:rPr>
            </w:pPr>
            <w:r>
              <w:rPr>
                <w:b/>
                <w:sz w:val="20"/>
              </w:rPr>
              <w:t>2</w:t>
            </w:r>
            <w:r w:rsidRPr="00230BFE">
              <w:rPr>
                <w:b/>
                <w:sz w:val="20"/>
              </w:rPr>
              <w:t>0</w:t>
            </w:r>
          </w:p>
        </w:tc>
        <w:tc>
          <w:tcPr>
            <w:tcW w:w="1454" w:type="dxa"/>
            <w:vAlign w:val="center"/>
          </w:tcPr>
          <w:p w:rsidR="00230BFE" w:rsidRPr="00230BFE" w:rsidRDefault="00230BFE" w:rsidP="00230BFE">
            <w:pPr>
              <w:pStyle w:val="REG-P0"/>
              <w:jc w:val="center"/>
              <w:rPr>
                <w:b/>
                <w:sz w:val="20"/>
              </w:rPr>
            </w:pPr>
            <w:r>
              <w:rPr>
                <w:b/>
                <w:sz w:val="20"/>
              </w:rPr>
              <w:t>18</w:t>
            </w:r>
          </w:p>
        </w:tc>
      </w:tr>
      <w:tr w:rsidR="009F570B" w:rsidRPr="006B4FD8" w:rsidTr="009F570B">
        <w:tc>
          <w:tcPr>
            <w:tcW w:w="5132" w:type="dxa"/>
          </w:tcPr>
          <w:p w:rsidR="009F570B" w:rsidRPr="009F570B" w:rsidRDefault="009F570B" w:rsidP="009F570B">
            <w:pPr>
              <w:pStyle w:val="REG-P0"/>
              <w:jc w:val="left"/>
              <w:rPr>
                <w:rFonts w:eastAsia="Calibri"/>
                <w:sz w:val="20"/>
                <w:lang w:eastAsia="en-US"/>
              </w:rPr>
            </w:pPr>
            <w:r w:rsidRPr="009F570B">
              <w:rPr>
                <w:rFonts w:eastAsia="Calibri"/>
                <w:sz w:val="20"/>
                <w:lang w:val="en-ZA" w:eastAsia="en-US"/>
              </w:rPr>
              <w:t>6. Photographic and cinematographic cameras enlarges, reducers and projectors, including accessories for these articles, but excluding equipment for cinemas and theatres, microfilm equipment and lithographic process cameras</w:t>
            </w:r>
          </w:p>
        </w:tc>
        <w:tc>
          <w:tcPr>
            <w:tcW w:w="1453" w:type="dxa"/>
            <w:vAlign w:val="center"/>
          </w:tcPr>
          <w:p w:rsidR="009F570B" w:rsidRPr="00230BFE" w:rsidRDefault="009F570B" w:rsidP="009F570B">
            <w:pPr>
              <w:pStyle w:val="REG-P0"/>
              <w:jc w:val="center"/>
              <w:rPr>
                <w:b/>
                <w:sz w:val="20"/>
              </w:rPr>
            </w:pPr>
            <w:r>
              <w:rPr>
                <w:b/>
                <w:sz w:val="20"/>
              </w:rPr>
              <w:t>2</w:t>
            </w:r>
            <w:r w:rsidRPr="00230BFE">
              <w:rPr>
                <w:b/>
                <w:sz w:val="20"/>
              </w:rPr>
              <w:t>0</w:t>
            </w:r>
          </w:p>
        </w:tc>
        <w:tc>
          <w:tcPr>
            <w:tcW w:w="1454" w:type="dxa"/>
            <w:vAlign w:val="center"/>
          </w:tcPr>
          <w:p w:rsidR="009F570B" w:rsidRPr="00230BFE" w:rsidRDefault="009F570B" w:rsidP="009F570B">
            <w:pPr>
              <w:pStyle w:val="REG-P0"/>
              <w:jc w:val="center"/>
              <w:rPr>
                <w:b/>
                <w:sz w:val="20"/>
              </w:rPr>
            </w:pPr>
            <w:r>
              <w:rPr>
                <w:b/>
                <w:sz w:val="20"/>
              </w:rPr>
              <w:t>18</w:t>
            </w:r>
          </w:p>
        </w:tc>
      </w:tr>
      <w:tr w:rsidR="009F570B" w:rsidRPr="006B4FD8" w:rsidTr="009F570B">
        <w:tc>
          <w:tcPr>
            <w:tcW w:w="5132" w:type="dxa"/>
          </w:tcPr>
          <w:p w:rsidR="009F570B" w:rsidRDefault="009F570B" w:rsidP="009F570B">
            <w:pPr>
              <w:pStyle w:val="REG-P0"/>
              <w:jc w:val="left"/>
              <w:rPr>
                <w:rFonts w:eastAsia="Calibri"/>
                <w:sz w:val="20"/>
                <w:lang w:val="en-ZA" w:eastAsia="en-US"/>
              </w:rPr>
            </w:pPr>
            <w:r w:rsidRPr="009F570B">
              <w:rPr>
                <w:rFonts w:eastAsia="Calibri"/>
                <w:sz w:val="20"/>
                <w:lang w:val="en-ZA" w:eastAsia="en-US"/>
              </w:rPr>
              <w:t>7. Video cassette recorders and players, video tape-recorders and</w:t>
            </w:r>
            <w:r w:rsidRPr="009F570B">
              <w:rPr>
                <w:rFonts w:eastAsia="Calibri"/>
                <w:sz w:val="20"/>
                <w:lang w:val="en-ZA" w:eastAsia="en-US"/>
              </w:rPr>
              <w:t xml:space="preserve"> </w:t>
            </w:r>
            <w:r w:rsidRPr="009F570B">
              <w:rPr>
                <w:rFonts w:eastAsia="Calibri"/>
                <w:sz w:val="20"/>
                <w:lang w:val="en-ZA" w:eastAsia="en-US"/>
              </w:rPr>
              <w:t>players, video recorders and cameras and decoders and other electronic</w:t>
            </w:r>
            <w:r w:rsidRPr="009F570B">
              <w:rPr>
                <w:rFonts w:eastAsia="Calibri"/>
                <w:sz w:val="20"/>
                <w:lang w:val="en-ZA" w:eastAsia="en-US"/>
              </w:rPr>
              <w:t xml:space="preserve"> </w:t>
            </w:r>
            <w:r w:rsidRPr="009F570B">
              <w:rPr>
                <w:rFonts w:eastAsia="Calibri"/>
                <w:sz w:val="20"/>
                <w:lang w:val="en-ZA" w:eastAsia="en-US"/>
              </w:rPr>
              <w:t>products such as cameras, cell phones, (DVD) and other related</w:t>
            </w:r>
            <w:r w:rsidRPr="009F570B">
              <w:rPr>
                <w:rFonts w:eastAsia="Calibri"/>
                <w:sz w:val="20"/>
                <w:lang w:val="en-ZA" w:eastAsia="en-US"/>
              </w:rPr>
              <w:t xml:space="preserve"> </w:t>
            </w:r>
            <w:r w:rsidRPr="009F570B">
              <w:rPr>
                <w:rFonts w:eastAsia="Calibri"/>
                <w:sz w:val="20"/>
                <w:lang w:val="en-ZA" w:eastAsia="en-US"/>
              </w:rPr>
              <w:t>products</w:t>
            </w:r>
          </w:p>
          <w:p w:rsidR="00DB00B8" w:rsidRPr="009F570B" w:rsidRDefault="00DB00B8" w:rsidP="00DB00B8">
            <w:pPr>
              <w:pStyle w:val="REG-Amend"/>
              <w:rPr>
                <w:rFonts w:eastAsia="Calibri"/>
                <w:lang w:val="en-ZA" w:eastAsia="en-US"/>
              </w:rPr>
            </w:pPr>
            <w:r w:rsidRPr="00DB00B8">
              <w:rPr>
                <w:rFonts w:eastAsia="Calibri"/>
                <w:sz w:val="16"/>
                <w:lang w:val="en-ZA" w:eastAsia="en-US"/>
              </w:rPr>
              <w:t xml:space="preserve">[replicated as in </w:t>
            </w:r>
            <w:r w:rsidRPr="00DB00B8">
              <w:rPr>
                <w:rFonts w:eastAsia="Calibri"/>
                <w:i/>
                <w:sz w:val="16"/>
                <w:lang w:val="en-ZA" w:eastAsia="en-US"/>
              </w:rPr>
              <w:t>Government Gazette</w:t>
            </w:r>
            <w:r w:rsidRPr="00DB00B8">
              <w:rPr>
                <w:rFonts w:eastAsia="Calibri"/>
                <w:sz w:val="16"/>
                <w:lang w:val="en-ZA" w:eastAsia="en-US"/>
              </w:rPr>
              <w:t>, with “DVD</w:t>
            </w:r>
            <w:r>
              <w:rPr>
                <w:rFonts w:eastAsia="Calibri"/>
                <w:sz w:val="16"/>
                <w:lang w:val="en-ZA" w:eastAsia="en-US"/>
              </w:rPr>
              <w:t>”</w:t>
            </w:r>
            <w:r w:rsidRPr="00DB00B8">
              <w:rPr>
                <w:rFonts w:eastAsia="Calibri"/>
                <w:sz w:val="16"/>
                <w:lang w:val="en-ZA" w:eastAsia="en-US"/>
              </w:rPr>
              <w:t xml:space="preserve"> in brackets]</w:t>
            </w:r>
          </w:p>
        </w:tc>
        <w:tc>
          <w:tcPr>
            <w:tcW w:w="1453" w:type="dxa"/>
            <w:vAlign w:val="center"/>
          </w:tcPr>
          <w:p w:rsidR="009F570B" w:rsidRPr="00230BFE" w:rsidRDefault="009F570B" w:rsidP="009F570B">
            <w:pPr>
              <w:pStyle w:val="REG-P0"/>
              <w:jc w:val="center"/>
              <w:rPr>
                <w:b/>
                <w:sz w:val="20"/>
              </w:rPr>
            </w:pPr>
            <w:r>
              <w:rPr>
                <w:b/>
                <w:sz w:val="20"/>
              </w:rPr>
              <w:t>2</w:t>
            </w:r>
            <w:r w:rsidRPr="00230BFE">
              <w:rPr>
                <w:b/>
                <w:sz w:val="20"/>
              </w:rPr>
              <w:t>0</w:t>
            </w:r>
          </w:p>
        </w:tc>
        <w:tc>
          <w:tcPr>
            <w:tcW w:w="1454" w:type="dxa"/>
            <w:vAlign w:val="center"/>
          </w:tcPr>
          <w:p w:rsidR="009F570B" w:rsidRPr="00230BFE" w:rsidRDefault="009F570B" w:rsidP="009F570B">
            <w:pPr>
              <w:pStyle w:val="REG-P0"/>
              <w:jc w:val="center"/>
              <w:rPr>
                <w:b/>
                <w:sz w:val="20"/>
              </w:rPr>
            </w:pPr>
            <w:r>
              <w:rPr>
                <w:b/>
                <w:sz w:val="20"/>
              </w:rPr>
              <w:t>18</w:t>
            </w:r>
          </w:p>
        </w:tc>
      </w:tr>
      <w:tr w:rsidR="009F570B" w:rsidRPr="006B4FD8" w:rsidTr="009F570B">
        <w:tc>
          <w:tcPr>
            <w:tcW w:w="5132" w:type="dxa"/>
          </w:tcPr>
          <w:p w:rsidR="009F570B" w:rsidRPr="009F570B" w:rsidRDefault="009F570B" w:rsidP="009F570B">
            <w:pPr>
              <w:pStyle w:val="REG-P0"/>
              <w:jc w:val="left"/>
              <w:rPr>
                <w:rFonts w:eastAsia="Calibri"/>
                <w:sz w:val="20"/>
                <w:lang w:val="en-ZA" w:eastAsia="en-US"/>
              </w:rPr>
            </w:pPr>
            <w:r w:rsidRPr="009F570B">
              <w:rPr>
                <w:rFonts w:eastAsia="Calibri"/>
                <w:sz w:val="20"/>
                <w:lang w:val="en-ZA" w:eastAsia="en-US"/>
              </w:rPr>
              <w:t>8. Televisions, laptops, computers and games</w:t>
            </w:r>
          </w:p>
        </w:tc>
        <w:tc>
          <w:tcPr>
            <w:tcW w:w="1453" w:type="dxa"/>
            <w:vAlign w:val="center"/>
          </w:tcPr>
          <w:p w:rsidR="009F570B" w:rsidRPr="00230BFE" w:rsidRDefault="009F570B" w:rsidP="009F570B">
            <w:pPr>
              <w:pStyle w:val="REG-P0"/>
              <w:jc w:val="center"/>
              <w:rPr>
                <w:b/>
                <w:sz w:val="20"/>
              </w:rPr>
            </w:pPr>
            <w:r>
              <w:rPr>
                <w:b/>
                <w:sz w:val="20"/>
              </w:rPr>
              <w:t>2</w:t>
            </w:r>
            <w:r w:rsidRPr="00230BFE">
              <w:rPr>
                <w:b/>
                <w:sz w:val="20"/>
              </w:rPr>
              <w:t>0</w:t>
            </w:r>
          </w:p>
        </w:tc>
        <w:tc>
          <w:tcPr>
            <w:tcW w:w="1454" w:type="dxa"/>
            <w:vAlign w:val="center"/>
          </w:tcPr>
          <w:p w:rsidR="009F570B" w:rsidRPr="00230BFE" w:rsidRDefault="009F570B" w:rsidP="009F570B">
            <w:pPr>
              <w:pStyle w:val="REG-P0"/>
              <w:jc w:val="center"/>
              <w:rPr>
                <w:b/>
                <w:sz w:val="20"/>
              </w:rPr>
            </w:pPr>
            <w:r>
              <w:rPr>
                <w:b/>
                <w:sz w:val="20"/>
              </w:rPr>
              <w:t>18</w:t>
            </w:r>
          </w:p>
        </w:tc>
      </w:tr>
      <w:tr w:rsidR="009F570B" w:rsidRPr="006B4FD8" w:rsidTr="009F570B">
        <w:tc>
          <w:tcPr>
            <w:tcW w:w="5132" w:type="dxa"/>
          </w:tcPr>
          <w:p w:rsidR="009F570B" w:rsidRPr="009F570B" w:rsidRDefault="009F570B" w:rsidP="009F570B">
            <w:pPr>
              <w:pStyle w:val="REG-P0"/>
              <w:jc w:val="left"/>
              <w:rPr>
                <w:rFonts w:eastAsia="Calibri"/>
                <w:sz w:val="20"/>
                <w:lang w:val="en-ZA" w:eastAsia="en-US"/>
              </w:rPr>
            </w:pPr>
            <w:r w:rsidRPr="009F570B">
              <w:rPr>
                <w:rFonts w:eastAsia="Calibri"/>
                <w:sz w:val="20"/>
                <w:lang w:val="en-ZA" w:eastAsia="en-US"/>
              </w:rPr>
              <w:t>9. Mechanically-propelled motor vehicles not subject to the provisions</w:t>
            </w:r>
            <w:r w:rsidRPr="009F570B">
              <w:rPr>
                <w:rFonts w:eastAsia="Calibri"/>
                <w:sz w:val="20"/>
                <w:lang w:val="en-ZA" w:eastAsia="en-US"/>
              </w:rPr>
              <w:t xml:space="preserve"> </w:t>
            </w:r>
            <w:r w:rsidRPr="009F570B">
              <w:rPr>
                <w:rFonts w:eastAsia="Calibri"/>
                <w:sz w:val="20"/>
                <w:lang w:val="en-ZA" w:eastAsia="en-US"/>
              </w:rPr>
              <w:t>of paragraph 10 including any commercial vehicle irrespective of</w:t>
            </w:r>
            <w:r w:rsidRPr="009F570B">
              <w:rPr>
                <w:rFonts w:eastAsia="Calibri"/>
                <w:sz w:val="20"/>
                <w:lang w:val="en-ZA" w:eastAsia="en-US"/>
              </w:rPr>
              <w:t xml:space="preserve"> </w:t>
            </w:r>
            <w:r w:rsidRPr="009F570B">
              <w:rPr>
                <w:rFonts w:eastAsia="Calibri"/>
                <w:sz w:val="20"/>
                <w:lang w:val="en-ZA" w:eastAsia="en-US"/>
              </w:rPr>
              <w:t>whether such motor vehicle has subsequent to the manufacture thereof</w:t>
            </w:r>
            <w:r w:rsidRPr="009F570B">
              <w:rPr>
                <w:rFonts w:eastAsia="Calibri"/>
                <w:sz w:val="20"/>
                <w:lang w:val="en-ZA" w:eastAsia="en-US"/>
              </w:rPr>
              <w:t xml:space="preserve"> </w:t>
            </w:r>
            <w:r w:rsidRPr="009F570B">
              <w:rPr>
                <w:rFonts w:eastAsia="Calibri"/>
                <w:sz w:val="20"/>
                <w:lang w:val="en-ZA" w:eastAsia="en-US"/>
              </w:rPr>
              <w:t>been equipped, constructed or adapted for conveyance of persons, but</w:t>
            </w:r>
            <w:r w:rsidRPr="009F570B">
              <w:rPr>
                <w:rFonts w:eastAsia="Calibri"/>
                <w:sz w:val="20"/>
                <w:lang w:val="en-ZA" w:eastAsia="en-US"/>
              </w:rPr>
              <w:t xml:space="preserve"> </w:t>
            </w:r>
            <w:r w:rsidRPr="009F570B">
              <w:rPr>
                <w:rFonts w:eastAsia="Calibri"/>
                <w:sz w:val="20"/>
                <w:lang w:val="en-ZA" w:eastAsia="en-US"/>
              </w:rPr>
              <w:t>excluding tractors, harvesting machinery, agricultural machinery and</w:t>
            </w:r>
            <w:r w:rsidRPr="009F570B">
              <w:rPr>
                <w:rFonts w:eastAsia="Calibri"/>
                <w:sz w:val="20"/>
                <w:lang w:val="en-ZA" w:eastAsia="en-US"/>
              </w:rPr>
              <w:t xml:space="preserve"> </w:t>
            </w:r>
            <w:r w:rsidRPr="009F570B">
              <w:rPr>
                <w:rFonts w:eastAsia="Calibri"/>
                <w:sz w:val="20"/>
                <w:lang w:val="en-ZA" w:eastAsia="en-US"/>
              </w:rPr>
              <w:t>implements, and irrigation machinery</w:t>
            </w:r>
          </w:p>
        </w:tc>
        <w:tc>
          <w:tcPr>
            <w:tcW w:w="1453" w:type="dxa"/>
            <w:vAlign w:val="center"/>
          </w:tcPr>
          <w:p w:rsidR="009F570B" w:rsidRPr="00230BFE" w:rsidRDefault="009F570B" w:rsidP="009F570B">
            <w:pPr>
              <w:pStyle w:val="REG-P0"/>
              <w:jc w:val="center"/>
              <w:rPr>
                <w:b/>
                <w:sz w:val="20"/>
              </w:rPr>
            </w:pPr>
            <w:r w:rsidRPr="00230BFE">
              <w:rPr>
                <w:b/>
                <w:sz w:val="20"/>
              </w:rPr>
              <w:t>10</w:t>
            </w:r>
          </w:p>
        </w:tc>
        <w:tc>
          <w:tcPr>
            <w:tcW w:w="1454" w:type="dxa"/>
            <w:vAlign w:val="center"/>
          </w:tcPr>
          <w:p w:rsidR="009F570B" w:rsidRPr="00230BFE" w:rsidRDefault="009F570B" w:rsidP="009F570B">
            <w:pPr>
              <w:pStyle w:val="REG-P0"/>
              <w:jc w:val="center"/>
              <w:rPr>
                <w:b/>
                <w:sz w:val="20"/>
              </w:rPr>
            </w:pPr>
            <w:r>
              <w:rPr>
                <w:b/>
                <w:sz w:val="20"/>
              </w:rPr>
              <w:t>7</w:t>
            </w:r>
            <w:r w:rsidRPr="00230BFE">
              <w:rPr>
                <w:b/>
                <w:sz w:val="20"/>
              </w:rPr>
              <w:t>2</w:t>
            </w:r>
          </w:p>
        </w:tc>
      </w:tr>
      <w:tr w:rsidR="009F570B" w:rsidRPr="006B4FD8" w:rsidTr="009F570B">
        <w:tc>
          <w:tcPr>
            <w:tcW w:w="5132" w:type="dxa"/>
          </w:tcPr>
          <w:p w:rsidR="009F570B" w:rsidRDefault="009F570B" w:rsidP="009F570B">
            <w:pPr>
              <w:pStyle w:val="REG-P0"/>
              <w:jc w:val="left"/>
              <w:rPr>
                <w:rFonts w:eastAsia="Calibri"/>
                <w:sz w:val="20"/>
              </w:rPr>
            </w:pPr>
            <w:r w:rsidRPr="009F570B">
              <w:rPr>
                <w:rFonts w:eastAsia="Calibri"/>
                <w:sz w:val="20"/>
              </w:rPr>
              <w:t>10. Mechanically propelled road passenger motor vehicles designed to seat not more than 15 persons, including motor cycles and motor</w:t>
            </w:r>
            <w:r w:rsidR="006C5109">
              <w:rPr>
                <w:rFonts w:eastAsia="Calibri"/>
                <w:sz w:val="20"/>
              </w:rPr>
              <w:t>-</w:t>
            </w:r>
            <w:r w:rsidRPr="009F570B">
              <w:rPr>
                <w:rFonts w:eastAsia="Calibri"/>
                <w:sz w:val="20"/>
              </w:rPr>
              <w:t>tricycles</w:t>
            </w:r>
          </w:p>
          <w:p w:rsidR="00DB00B8" w:rsidRPr="009F570B" w:rsidRDefault="00DB00B8" w:rsidP="00CB0225">
            <w:pPr>
              <w:pStyle w:val="REG-Amend"/>
              <w:rPr>
                <w:rFonts w:eastAsia="Calibri"/>
                <w:sz w:val="20"/>
              </w:rPr>
            </w:pPr>
            <w:r w:rsidRPr="00DB00B8">
              <w:rPr>
                <w:rFonts w:eastAsia="Calibri"/>
                <w:sz w:val="16"/>
                <w:lang w:val="en-ZA" w:eastAsia="en-US"/>
              </w:rPr>
              <w:t xml:space="preserve">[replicated as in </w:t>
            </w:r>
            <w:r w:rsidRPr="00DB00B8">
              <w:rPr>
                <w:rFonts w:eastAsia="Calibri"/>
                <w:i/>
                <w:sz w:val="16"/>
                <w:lang w:val="en-ZA" w:eastAsia="en-US"/>
              </w:rPr>
              <w:t>Government Gazette</w:t>
            </w:r>
            <w:r w:rsidRPr="00DB00B8">
              <w:rPr>
                <w:rFonts w:eastAsia="Calibri"/>
                <w:sz w:val="16"/>
                <w:lang w:val="en-ZA" w:eastAsia="en-US"/>
              </w:rPr>
              <w:t xml:space="preserve">, with </w:t>
            </w:r>
            <w:r>
              <w:rPr>
                <w:rFonts w:eastAsia="Calibri"/>
                <w:sz w:val="16"/>
                <w:lang w:val="en-ZA" w:eastAsia="en-US"/>
              </w:rPr>
              <w:br/>
            </w:r>
            <w:r w:rsidRPr="00DB00B8">
              <w:rPr>
                <w:rFonts w:eastAsia="Calibri"/>
                <w:sz w:val="16"/>
                <w:lang w:val="en-ZA" w:eastAsia="en-US"/>
              </w:rPr>
              <w:t>“</w:t>
            </w:r>
            <w:r>
              <w:rPr>
                <w:rFonts w:eastAsia="Calibri"/>
                <w:sz w:val="16"/>
                <w:lang w:val="en-ZA" w:eastAsia="en-US"/>
              </w:rPr>
              <w:t>motorcycles” written as two words</w:t>
            </w:r>
            <w:r w:rsidRPr="00DB00B8">
              <w:rPr>
                <w:rFonts w:eastAsia="Calibri"/>
                <w:sz w:val="16"/>
                <w:lang w:val="en-ZA" w:eastAsia="en-US"/>
              </w:rPr>
              <w:t>]</w:t>
            </w:r>
          </w:p>
        </w:tc>
        <w:tc>
          <w:tcPr>
            <w:tcW w:w="1453" w:type="dxa"/>
            <w:vAlign w:val="center"/>
          </w:tcPr>
          <w:p w:rsidR="009F570B" w:rsidRPr="00230BFE" w:rsidRDefault="009F570B" w:rsidP="009F570B">
            <w:pPr>
              <w:pStyle w:val="REG-P0"/>
              <w:jc w:val="center"/>
              <w:rPr>
                <w:b/>
                <w:sz w:val="20"/>
              </w:rPr>
            </w:pPr>
            <w:r w:rsidRPr="00230BFE">
              <w:rPr>
                <w:b/>
                <w:sz w:val="20"/>
              </w:rPr>
              <w:t>10</w:t>
            </w:r>
          </w:p>
        </w:tc>
        <w:tc>
          <w:tcPr>
            <w:tcW w:w="1454" w:type="dxa"/>
            <w:vAlign w:val="center"/>
          </w:tcPr>
          <w:p w:rsidR="009F570B" w:rsidRPr="00230BFE" w:rsidRDefault="009F570B" w:rsidP="009F570B">
            <w:pPr>
              <w:pStyle w:val="REG-P0"/>
              <w:jc w:val="center"/>
              <w:rPr>
                <w:b/>
                <w:sz w:val="20"/>
              </w:rPr>
            </w:pPr>
            <w:r>
              <w:rPr>
                <w:b/>
                <w:sz w:val="20"/>
              </w:rPr>
              <w:t>72</w:t>
            </w:r>
          </w:p>
        </w:tc>
      </w:tr>
    </w:tbl>
    <w:p w:rsidR="00B65018" w:rsidRDefault="00B65018" w:rsidP="00316A7E">
      <w:pPr>
        <w:pStyle w:val="REG-P0"/>
      </w:pPr>
      <w:bookmarkStart w:id="0" w:name="_GoBack"/>
      <w:bookmarkEnd w:id="0"/>
    </w:p>
    <w:sectPr w:rsidR="00B65018" w:rsidSect="00F20B4F">
      <w:headerReference w:type="even" r:id="rId16"/>
      <w:headerReference w:type="default" r:id="rId17"/>
      <w:headerReference w:type="first" r:id="rId18"/>
      <w:pgSz w:w="11900" w:h="16840" w:code="9"/>
      <w:pgMar w:top="2552" w:right="1701" w:bottom="851" w:left="1701" w:header="851"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637C" w:rsidRDefault="005E637C">
      <w:r>
        <w:separator/>
      </w:r>
    </w:p>
  </w:endnote>
  <w:endnote w:type="continuationSeparator" w:id="0">
    <w:p w:rsidR="005E637C" w:rsidRDefault="005E63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61002A87" w:usb1="80000000" w:usb2="00000008" w:usb3="00000000" w:csb0="000101FF" w:csb1="00000000"/>
  </w:font>
  <w:font w:name="Times">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EFF" w:usb1="C000785B" w:usb2="00000009" w:usb3="00000000" w:csb0="000001FF"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637C" w:rsidRDefault="005E637C">
      <w:r>
        <w:separator/>
      </w:r>
    </w:p>
  </w:footnote>
  <w:footnote w:type="continuationSeparator" w:id="0">
    <w:p w:rsidR="005E637C" w:rsidRDefault="005E63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1141" w:rsidRPr="00DC6273" w:rsidRDefault="00811141" w:rsidP="00740FDE">
    <w:pPr>
      <w:spacing w:after="120"/>
      <w:jc w:val="center"/>
      <w:rPr>
        <w:rFonts w:ascii="Arial" w:hAnsi="Arial" w:cs="Arial"/>
        <w:sz w:val="16"/>
        <w:szCs w:val="16"/>
      </w:rPr>
    </w:pPr>
    <w:r w:rsidRPr="00A41A02">
      <w:rPr>
        <w:rFonts w:ascii="Arial" w:hAnsi="Arial" w:cs="Arial"/>
        <w:sz w:val="12"/>
        <w:szCs w:val="16"/>
      </w:rPr>
      <w:t>Annotated Statute</w:t>
    </w:r>
    <w:r w:rsidRPr="00FC33A9">
      <w:rPr>
        <w:rFonts w:ascii="Arial" w:hAnsi="Arial" w:cs="Arial"/>
        <w:w w:val="600"/>
        <w:sz w:val="12"/>
        <w:szCs w:val="16"/>
      </w:rPr>
      <w:t xml:space="preserve"> </w:t>
    </w:r>
    <w:r w:rsidRPr="00DC6273">
      <w:rPr>
        <w:rFonts w:ascii="Arial" w:hAnsi="Arial" w:cs="Arial"/>
        <w:b/>
        <w:sz w:val="16"/>
        <w:szCs w:val="16"/>
      </w:rPr>
      <w:fldChar w:fldCharType="begin"/>
    </w:r>
    <w:r w:rsidRPr="00DC6273">
      <w:rPr>
        <w:rFonts w:ascii="Arial" w:hAnsi="Arial" w:cs="Arial"/>
        <w:b/>
        <w:sz w:val="16"/>
        <w:szCs w:val="16"/>
      </w:rPr>
      <w:instrText xml:space="preserve"> PAGE   \* MERGEFORMAT </w:instrText>
    </w:r>
    <w:r w:rsidRPr="00DC6273">
      <w:rPr>
        <w:rFonts w:ascii="Arial" w:hAnsi="Arial" w:cs="Arial"/>
        <w:b/>
        <w:sz w:val="16"/>
        <w:szCs w:val="16"/>
      </w:rPr>
      <w:fldChar w:fldCharType="separate"/>
    </w:r>
    <w:r>
      <w:rPr>
        <w:rFonts w:ascii="Arial" w:hAnsi="Arial" w:cs="Arial"/>
        <w:b/>
        <w:sz w:val="16"/>
        <w:szCs w:val="16"/>
      </w:rPr>
      <w:t>20</w:t>
    </w:r>
    <w:r w:rsidRPr="00DC6273">
      <w:rPr>
        <w:rFonts w:ascii="Arial" w:hAnsi="Arial" w:cs="Arial"/>
        <w:b/>
        <w:sz w:val="16"/>
        <w:szCs w:val="16"/>
      </w:rPr>
      <w:fldChar w:fldCharType="end"/>
    </w:r>
    <w:r w:rsidRPr="00FC33A9">
      <w:rPr>
        <w:rFonts w:ascii="Arial" w:hAnsi="Arial" w:cs="Arial"/>
        <w:w w:val="600"/>
        <w:sz w:val="12"/>
        <w:szCs w:val="16"/>
      </w:rPr>
      <w:t xml:space="preserve"> </w:t>
    </w:r>
    <w:r w:rsidRPr="00A41A02">
      <w:rPr>
        <w:rFonts w:ascii="Arial" w:hAnsi="Arial" w:cs="Arial"/>
        <w:sz w:val="12"/>
        <w:szCs w:val="16"/>
      </w:rPr>
      <w:t>Republic of Namibia</w:t>
    </w:r>
    <w:r>
      <w:rPr>
        <w:rFonts w:ascii="Arial" w:hAnsi="Arial" w:cs="Arial"/>
        <w:b/>
        <w:sz w:val="16"/>
        <w:szCs w:val="16"/>
      </w:rPr>
      <w:t xml:space="preserve"> </w:t>
    </w:r>
  </w:p>
  <w:p w:rsidR="00811141" w:rsidRPr="00DC6273" w:rsidRDefault="00811141" w:rsidP="00740FDE">
    <w:pPr>
      <w:pStyle w:val="Header"/>
      <w:tabs>
        <w:tab w:val="clear" w:pos="4513"/>
        <w:tab w:val="clear" w:pos="9026"/>
        <w:tab w:val="left" w:pos="567"/>
        <w:tab w:val="left" w:pos="2268"/>
      </w:tabs>
      <w:jc w:val="center"/>
      <w:rPr>
        <w:rFonts w:ascii="Arial" w:hAnsi="Arial" w:cs="Arial"/>
        <w:b/>
        <w:sz w:val="16"/>
        <w:szCs w:val="16"/>
      </w:rPr>
    </w:pPr>
    <w:r>
      <w:rPr>
        <w:rFonts w:ascii="Arial" w:hAnsi="Arial" w:cs="Arial"/>
        <w:b/>
        <w:sz w:val="16"/>
        <w:szCs w:val="16"/>
      </w:rPr>
      <w:t>Labour</w:t>
    </w:r>
    <w:r w:rsidRPr="00DC6273">
      <w:rPr>
        <w:rFonts w:ascii="Arial" w:hAnsi="Arial" w:cs="Arial"/>
        <w:b/>
        <w:sz w:val="16"/>
        <w:szCs w:val="16"/>
      </w:rPr>
      <w:t xml:space="preserve"> Act </w:t>
    </w:r>
    <w:r>
      <w:rPr>
        <w:rFonts w:ascii="Arial" w:hAnsi="Arial" w:cs="Arial"/>
        <w:b/>
        <w:sz w:val="16"/>
        <w:szCs w:val="16"/>
      </w:rPr>
      <w:t>7</w:t>
    </w:r>
    <w:r w:rsidRPr="00DC6273">
      <w:rPr>
        <w:rFonts w:ascii="Arial" w:hAnsi="Arial" w:cs="Arial"/>
        <w:b/>
        <w:sz w:val="16"/>
        <w:szCs w:val="16"/>
      </w:rPr>
      <w:t xml:space="preserve"> of 20</w:t>
    </w:r>
    <w:r>
      <w:rPr>
        <w:rFonts w:ascii="Arial" w:hAnsi="Arial" w:cs="Arial"/>
        <w:b/>
        <w:sz w:val="16"/>
        <w:szCs w:val="16"/>
      </w:rPr>
      <w:t>11</w:t>
    </w:r>
    <w:r w:rsidRPr="00DC6273">
      <w:rPr>
        <w:rFonts w:ascii="Arial" w:hAnsi="Arial" w:cs="Arial"/>
        <w:b/>
        <w:sz w:val="16"/>
        <w:szCs w:val="16"/>
      </w:rPr>
      <w:t xml:space="preserve"> </w:t>
    </w:r>
    <w:r w:rsidRPr="00BA6B35">
      <w:rPr>
        <w:rFonts w:ascii="Arial" w:hAnsi="Arial" w:cs="Arial"/>
        <w:sz w:val="16"/>
        <w:szCs w:val="16"/>
      </w:rPr>
      <w:t>(GN 236/2007, GG 3971)</w:t>
    </w:r>
  </w:p>
  <w:p w:rsidR="00811141" w:rsidRDefault="00811141" w:rsidP="00FC33A9">
    <w:pPr>
      <w:pStyle w:val="Header"/>
      <w:tabs>
        <w:tab w:val="clear" w:pos="4513"/>
        <w:tab w:val="clear" w:pos="9026"/>
        <w:tab w:val="left" w:pos="567"/>
      </w:tabs>
      <w:ind w:left="567"/>
      <w:jc w:val="center"/>
      <w:rPr>
        <w:rFonts w:ascii="Arial" w:hAnsi="Arial" w:cs="Arial"/>
        <w:sz w:val="16"/>
        <w:szCs w:val="16"/>
      </w:rPr>
    </w:pPr>
    <w:r w:rsidRPr="00BA6B35">
      <w:rPr>
        <w:rFonts w:ascii="Arial" w:hAnsi="Arial" w:cs="Arial"/>
        <w:sz w:val="16"/>
        <w:szCs w:val="16"/>
      </w:rPr>
      <w:t xml:space="preserve">as amended by </w:t>
    </w:r>
    <w:r w:rsidRPr="00BA6B35">
      <w:rPr>
        <w:rFonts w:ascii="Arial" w:hAnsi="Arial" w:cs="Arial"/>
        <w:b/>
        <w:sz w:val="16"/>
        <w:szCs w:val="16"/>
      </w:rPr>
      <w:t>Labour Amendment Act 2 of 2012</w:t>
    </w:r>
    <w:r w:rsidRPr="00BA6B35">
      <w:rPr>
        <w:rFonts w:ascii="Arial" w:hAnsi="Arial" w:cs="Arial"/>
        <w:sz w:val="16"/>
        <w:szCs w:val="16"/>
      </w:rPr>
      <w:t xml:space="preserve"> (GN 350/2012, GG 6001)</w:t>
    </w:r>
  </w:p>
  <w:p w:rsidR="00811141" w:rsidRPr="00BA6B35" w:rsidRDefault="00811141" w:rsidP="00FC33A9">
    <w:pPr>
      <w:pBdr>
        <w:bottom w:val="single" w:sz="4" w:space="1" w:color="auto"/>
      </w:pBdr>
      <w:rPr>
        <w:sz w:val="8"/>
        <w:szCs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1141" w:rsidRPr="000073EE" w:rsidRDefault="00811141" w:rsidP="00FC33A9">
    <w:pPr>
      <w:spacing w:after="120"/>
      <w:jc w:val="center"/>
      <w:rPr>
        <w:rFonts w:ascii="Arial" w:hAnsi="Arial" w:cs="Arial"/>
        <w:sz w:val="16"/>
        <w:szCs w:val="16"/>
      </w:rPr>
    </w:pPr>
    <w:r>
      <w:rPr>
        <w:lang w:val="en-ZA" w:eastAsia="en-ZA"/>
      </w:rPr>
      <mc:AlternateContent>
        <mc:Choice Requires="wpg">
          <w:drawing>
            <wp:anchor distT="0" distB="0" distL="114300" distR="114300" simplePos="0" relativeHeight="251657728" behindDoc="0" locked="1" layoutInCell="0" allowOverlap="0" wp14:anchorId="1C45E2BC" wp14:editId="40180B62">
              <wp:simplePos x="0" y="0"/>
              <wp:positionH relativeFrom="column">
                <wp:posOffset>-957580</wp:posOffset>
              </wp:positionH>
              <wp:positionV relativeFrom="page">
                <wp:posOffset>0</wp:posOffset>
              </wp:positionV>
              <wp:extent cx="7322185" cy="10681335"/>
              <wp:effectExtent l="118745" t="114300" r="121920" b="120015"/>
              <wp:wrapNone/>
              <wp:docPr id="1"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22185" cy="10681335"/>
                        <a:chOff x="0" y="0"/>
                        <a:chExt cx="73215" cy="106812"/>
                      </a:xfrm>
                    </wpg:grpSpPr>
                    <wps:wsp>
                      <wps:cNvPr id="2" name="Straight Connector 1"/>
                      <wps:cNvCnPr/>
                      <wps:spPr bwMode="auto">
                        <a:xfrm>
                          <a:off x="0" y="0"/>
                          <a:ext cx="0" cy="106812"/>
                        </a:xfrm>
                        <a:prstGeom prst="line">
                          <a:avLst/>
                        </a:prstGeom>
                        <a:noFill/>
                        <a:ln w="228600" cap="sq">
                          <a:solidFill>
                            <a:srgbClr val="BFBFBF"/>
                          </a:solidFill>
                          <a:round/>
                          <a:headEnd/>
                          <a:tailEnd/>
                        </a:ln>
                        <a:extLst>
                          <a:ext uri="{909E8E84-426E-40DD-AFC4-6F175D3DCCD1}">
                            <a14:hiddenFill xmlns:a14="http://schemas.microsoft.com/office/drawing/2010/main">
                              <a:noFill/>
                            </a14:hiddenFill>
                          </a:ext>
                        </a:extLst>
                      </wps:spPr>
                      <wps:bodyPr/>
                    </wps:wsp>
                    <wps:wsp>
                      <wps:cNvPr id="3" name="Straight Connector 5"/>
                      <wps:cNvCnPr/>
                      <wps:spPr bwMode="auto">
                        <a:xfrm>
                          <a:off x="73215" y="0"/>
                          <a:ext cx="0" cy="106812"/>
                        </a:xfrm>
                        <a:prstGeom prst="line">
                          <a:avLst/>
                        </a:prstGeom>
                        <a:noFill/>
                        <a:ln w="228600" cap="sq">
                          <a:solidFill>
                            <a:srgbClr val="BFBFBF"/>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568D878" id="Group 6" o:spid="_x0000_s1026" style="position:absolute;margin-left:-75.4pt;margin-top:0;width:576.55pt;height:841.05pt;z-index:251657728;mso-position-vertical-relative:page" coordsize="73215,106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" o:allowincell="f" o:allowoverlap="f">
              <v:line id="Straight Connector 1" o:spid="_x0000_s1027" style="position:absolute;visibility:visible;mso-wrap-style:square" from="0,0" to="0,1068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" strokecolor="#bfbfbf" strokeweight="18pt">
                <v:stroke endcap="square"/>
              </v:line>
              <v:line id="Straight Connector 5" o:spid="_x0000_s1028" style="position:absolute;visibility:visible;mso-wrap-style:square" from="73215,0" to="73215,1068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" strokecolor="#bfbfbf" strokeweight="18pt">
                <v:stroke endcap="square"/>
              </v:line>
              <w10:wrap anchory="page"/>
              <w10:anchorlock/>
            </v:group>
          </w:pict>
        </mc:Fallback>
      </mc:AlternateContent>
    </w:r>
    <w:r w:rsidRPr="000073EE">
      <w:rPr>
        <w:rFonts w:ascii="Arial" w:hAnsi="Arial" w:cs="Arial"/>
        <w:sz w:val="12"/>
        <w:szCs w:val="16"/>
      </w:rPr>
      <w:t>Republic of Namibia</w:t>
    </w:r>
    <w:r w:rsidRPr="000073EE">
      <w:rPr>
        <w:rFonts w:ascii="Arial" w:hAnsi="Arial" w:cs="Arial"/>
        <w:w w:val="600"/>
        <w:sz w:val="12"/>
        <w:szCs w:val="16"/>
      </w:rPr>
      <w:t xml:space="preserve"> </w:t>
    </w:r>
    <w:r w:rsidRPr="000073EE">
      <w:rPr>
        <w:rFonts w:ascii="Arial" w:hAnsi="Arial" w:cs="Arial"/>
        <w:b/>
        <w:sz w:val="16"/>
        <w:szCs w:val="16"/>
      </w:rPr>
      <w:fldChar w:fldCharType="begin"/>
    </w:r>
    <w:r w:rsidRPr="000073EE">
      <w:rPr>
        <w:rFonts w:ascii="Arial" w:hAnsi="Arial" w:cs="Arial"/>
        <w:b/>
        <w:sz w:val="16"/>
        <w:szCs w:val="16"/>
      </w:rPr>
      <w:instrText xml:space="preserve"> PAGE   \* MERGEFORMAT </w:instrText>
    </w:r>
    <w:r w:rsidRPr="000073EE">
      <w:rPr>
        <w:rFonts w:ascii="Arial" w:hAnsi="Arial" w:cs="Arial"/>
        <w:b/>
        <w:sz w:val="16"/>
        <w:szCs w:val="16"/>
      </w:rPr>
      <w:fldChar w:fldCharType="separate"/>
    </w:r>
    <w:r w:rsidR="005E637C">
      <w:rPr>
        <w:rFonts w:ascii="Arial" w:hAnsi="Arial" w:cs="Arial"/>
        <w:b/>
        <w:sz w:val="16"/>
        <w:szCs w:val="16"/>
      </w:rPr>
      <w:t>1</w:t>
    </w:r>
    <w:r w:rsidRPr="000073EE">
      <w:rPr>
        <w:rFonts w:ascii="Arial" w:hAnsi="Arial" w:cs="Arial"/>
        <w:b/>
        <w:sz w:val="16"/>
        <w:szCs w:val="16"/>
      </w:rPr>
      <w:fldChar w:fldCharType="end"/>
    </w:r>
    <w:r w:rsidRPr="000073EE">
      <w:rPr>
        <w:rFonts w:ascii="Arial" w:hAnsi="Arial" w:cs="Arial"/>
        <w:w w:val="600"/>
        <w:sz w:val="12"/>
        <w:szCs w:val="16"/>
      </w:rPr>
      <w:t xml:space="preserve"> </w:t>
    </w:r>
    <w:r w:rsidRPr="000073EE">
      <w:rPr>
        <w:rFonts w:ascii="Arial" w:hAnsi="Arial" w:cs="Arial"/>
        <w:sz w:val="12"/>
        <w:szCs w:val="16"/>
      </w:rPr>
      <w:t>Annotated Statutes</w:t>
    </w:r>
    <w:r w:rsidRPr="000073EE">
      <w:rPr>
        <w:rFonts w:ascii="Arial" w:hAnsi="Arial" w:cs="Arial"/>
        <w:b/>
        <w:sz w:val="16"/>
        <w:szCs w:val="16"/>
      </w:rPr>
      <w:t xml:space="preserve"> </w:t>
    </w:r>
  </w:p>
  <w:p w:rsidR="009D575C" w:rsidRPr="00BF39A3" w:rsidRDefault="009D575C" w:rsidP="009D575C">
    <w:pPr>
      <w:pStyle w:val="REG-PHA"/>
    </w:pPr>
    <w:r w:rsidRPr="0083372E">
      <w:t>REGULATIONS</w:t>
    </w:r>
  </w:p>
  <w:p w:rsidR="009D575C" w:rsidRDefault="009D575C" w:rsidP="009D575C">
    <w:pPr>
      <w:pStyle w:val="REG-PHb"/>
      <w:spacing w:after="120"/>
    </w:pPr>
    <w:r>
      <w:t>Credit Agreements Act</w:t>
    </w:r>
    <w:r w:rsidRPr="005E5A51">
      <w:t xml:space="preserve"> 75 of 1980</w:t>
    </w:r>
  </w:p>
  <w:p w:rsidR="00811141" w:rsidRPr="00BF39A3" w:rsidRDefault="009D575C" w:rsidP="001F2A7F">
    <w:pPr>
      <w:pStyle w:val="REG-PHb"/>
    </w:pPr>
    <w:r>
      <w:t>General Regulations</w:t>
    </w:r>
  </w:p>
  <w:p w:rsidR="00811141" w:rsidRPr="000073EE" w:rsidRDefault="00811141" w:rsidP="0020301E">
    <w:pPr>
      <w:pBdr>
        <w:bottom w:val="single" w:sz="24" w:space="1" w:color="BFBFBF"/>
      </w:pBdr>
      <w:rPr>
        <w:sz w:val="12"/>
        <w:szCs w:val="16"/>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1141" w:rsidRPr="00BA6B35" w:rsidRDefault="00811141" w:rsidP="00740FDE">
    <w:pPr>
      <w:pBdr>
        <w:bottom w:val="single" w:sz="4" w:space="1" w:color="auto"/>
      </w:pBdr>
      <w:rPr>
        <w:sz w:val="8"/>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0F6A80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D3250C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2FCCF4B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7B2EDA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38323AC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BD81DE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5E2508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3D65EC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DBED03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0947ED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C313848"/>
    <w:multiLevelType w:val="hybridMultilevel"/>
    <w:tmpl w:val="B2747CC6"/>
    <w:lvl w:ilvl="0" w:tplc="DD5A4B3C">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1" w15:restartNumberingAfterBreak="0">
    <w:nsid w:val="1F8E5340"/>
    <w:multiLevelType w:val="hybridMultilevel"/>
    <w:tmpl w:val="023E5444"/>
    <w:lvl w:ilvl="0" w:tplc="D5D8669C">
      <w:start w:val="1"/>
      <w:numFmt w:val="lowerLetter"/>
      <w:lvlText w:val="(%1)"/>
      <w:lvlJc w:val="left"/>
      <w:pPr>
        <w:ind w:left="1137" w:hanging="57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2" w15:restartNumberingAfterBreak="0">
    <w:nsid w:val="3D6937C8"/>
    <w:multiLevelType w:val="hybridMultilevel"/>
    <w:tmpl w:val="CAB62444"/>
    <w:lvl w:ilvl="0" w:tplc="D3FE2E0C">
      <w:start w:val="1"/>
      <w:numFmt w:val="lowerRoman"/>
      <w:lvlText w:val="(%1)"/>
      <w:lvlJc w:val="left"/>
      <w:pPr>
        <w:ind w:left="1287" w:hanging="72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3" w15:restartNumberingAfterBreak="0">
    <w:nsid w:val="51C24B66"/>
    <w:multiLevelType w:val="hybridMultilevel"/>
    <w:tmpl w:val="729414DE"/>
    <w:lvl w:ilvl="0" w:tplc="52ACE3E6">
      <w:start w:val="1"/>
      <w:numFmt w:val="decimal"/>
      <w:lvlText w:val="%1."/>
      <w:lvlJc w:val="left"/>
      <w:pPr>
        <w:ind w:left="1137" w:hanging="570"/>
      </w:pPr>
      <w:rPr>
        <w:rFonts w:hint="default"/>
        <w:b/>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num w:numId="1">
    <w:abstractNumId w:val="9"/>
  </w:num>
  <w:num w:numId="2">
    <w:abstractNumId w:val="9"/>
  </w:num>
  <w:num w:numId="3">
    <w:abstractNumId w:val="13"/>
  </w:num>
  <w:num w:numId="4">
    <w:abstractNumId w:val="10"/>
  </w:num>
  <w:num w:numId="5">
    <w:abstractNumId w:val="11"/>
  </w:num>
  <w:num w:numId="6">
    <w:abstractNumId w:val="12"/>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46"/>
  <w:embedSystemFonts/>
  <w:bordersDoNotSurroundHeader/>
  <w:bordersDoNotSurroundFooter/>
  <w:hideSpellingErrors/>
  <w:hideGrammaticalErrors/>
  <w:activeWritingStyle w:appName="MSWord" w:lang="en-GB" w:vendorID="64" w:dllVersion="131078" w:nlCheck="1" w:checkStyle="1"/>
  <w:activeWritingStyle w:appName="MSWord" w:lang="en-ZA" w:vendorID="64" w:dllVersion="131078" w:nlCheck="1" w:checkStyle="1"/>
  <w:activeWritingStyle w:appName="MSWord" w:lang="en-US" w:vendorID="64" w:dllVersion="131078" w:nlCheck="1" w:checkStyle="1"/>
  <w:attachedTemplate r:id="rId1"/>
  <w:linkStyle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357"/>
  <w:drawingGridHorizontalSpacing w:val="120"/>
  <w:drawingGridVerticalSpacing w:val="120"/>
  <w:displayHorizontalDrawingGridEvery w:val="0"/>
  <w:displayVerticalDrawingGridEvery w:val="3"/>
  <w:doNotUseMarginsForDrawingGridOrigin/>
  <w:doNotShadeFormData/>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NDY1NTYzMjUxsAAiYyUdpeDU4uLM/DyQAqNaAAPImzUsAAAA"/>
  </w:docVars>
  <w:rsids>
    <w:rsidRoot w:val="0000159E"/>
    <w:rsid w:val="00000812"/>
    <w:rsid w:val="0000159E"/>
    <w:rsid w:val="00003730"/>
    <w:rsid w:val="00003DCF"/>
    <w:rsid w:val="00004F6B"/>
    <w:rsid w:val="000052A2"/>
    <w:rsid w:val="00005680"/>
    <w:rsid w:val="00005EE8"/>
    <w:rsid w:val="000073EE"/>
    <w:rsid w:val="00010B81"/>
    <w:rsid w:val="00012C49"/>
    <w:rsid w:val="000133A8"/>
    <w:rsid w:val="0002243D"/>
    <w:rsid w:val="00023D2F"/>
    <w:rsid w:val="000242FF"/>
    <w:rsid w:val="00024D3E"/>
    <w:rsid w:val="00034949"/>
    <w:rsid w:val="00034B64"/>
    <w:rsid w:val="00035B4E"/>
    <w:rsid w:val="00041C28"/>
    <w:rsid w:val="000420FF"/>
    <w:rsid w:val="00043254"/>
    <w:rsid w:val="00043AF5"/>
    <w:rsid w:val="00044972"/>
    <w:rsid w:val="00045A94"/>
    <w:rsid w:val="00045C5C"/>
    <w:rsid w:val="00046483"/>
    <w:rsid w:val="00051041"/>
    <w:rsid w:val="00055D23"/>
    <w:rsid w:val="00055E1E"/>
    <w:rsid w:val="000608EE"/>
    <w:rsid w:val="000614EF"/>
    <w:rsid w:val="000622BB"/>
    <w:rsid w:val="000668CD"/>
    <w:rsid w:val="00066DEF"/>
    <w:rsid w:val="00067FCF"/>
    <w:rsid w:val="0007067C"/>
    <w:rsid w:val="000710ED"/>
    <w:rsid w:val="000744EC"/>
    <w:rsid w:val="00074AFC"/>
    <w:rsid w:val="000757E1"/>
    <w:rsid w:val="00077C38"/>
    <w:rsid w:val="00077CC8"/>
    <w:rsid w:val="00080C29"/>
    <w:rsid w:val="00080C45"/>
    <w:rsid w:val="000814D8"/>
    <w:rsid w:val="000835C8"/>
    <w:rsid w:val="00084A4D"/>
    <w:rsid w:val="000878E9"/>
    <w:rsid w:val="000903F9"/>
    <w:rsid w:val="00095AC7"/>
    <w:rsid w:val="00097463"/>
    <w:rsid w:val="000A2439"/>
    <w:rsid w:val="000A4D98"/>
    <w:rsid w:val="000A5531"/>
    <w:rsid w:val="000A5830"/>
    <w:rsid w:val="000B26CE"/>
    <w:rsid w:val="000B4FB6"/>
    <w:rsid w:val="000B54EB"/>
    <w:rsid w:val="000B60FA"/>
    <w:rsid w:val="000C01AC"/>
    <w:rsid w:val="000C0AE4"/>
    <w:rsid w:val="000C23AA"/>
    <w:rsid w:val="000C2C80"/>
    <w:rsid w:val="000C416E"/>
    <w:rsid w:val="000C4CB9"/>
    <w:rsid w:val="000C5263"/>
    <w:rsid w:val="000D3B3A"/>
    <w:rsid w:val="000D4BCC"/>
    <w:rsid w:val="000D61EB"/>
    <w:rsid w:val="000D6BDE"/>
    <w:rsid w:val="000E17FD"/>
    <w:rsid w:val="000E21FC"/>
    <w:rsid w:val="000E427F"/>
    <w:rsid w:val="000E5C90"/>
    <w:rsid w:val="000F1E72"/>
    <w:rsid w:val="000F260D"/>
    <w:rsid w:val="000F4429"/>
    <w:rsid w:val="000F6DD0"/>
    <w:rsid w:val="000F7993"/>
    <w:rsid w:val="00106866"/>
    <w:rsid w:val="0010747B"/>
    <w:rsid w:val="001118D9"/>
    <w:rsid w:val="001121EE"/>
    <w:rsid w:val="00112540"/>
    <w:rsid w:val="00112851"/>
    <w:rsid w:val="001128C3"/>
    <w:rsid w:val="00121135"/>
    <w:rsid w:val="00123500"/>
    <w:rsid w:val="001243E2"/>
    <w:rsid w:val="0012543A"/>
    <w:rsid w:val="00133371"/>
    <w:rsid w:val="0013650D"/>
    <w:rsid w:val="001373F5"/>
    <w:rsid w:val="00140FCA"/>
    <w:rsid w:val="00142743"/>
    <w:rsid w:val="00143E17"/>
    <w:rsid w:val="00150D86"/>
    <w:rsid w:val="0015104F"/>
    <w:rsid w:val="00152AB1"/>
    <w:rsid w:val="00152B85"/>
    <w:rsid w:val="001540EB"/>
    <w:rsid w:val="001565F4"/>
    <w:rsid w:val="00157469"/>
    <w:rsid w:val="0015761F"/>
    <w:rsid w:val="00157C96"/>
    <w:rsid w:val="0016307D"/>
    <w:rsid w:val="001636EC"/>
    <w:rsid w:val="001645F9"/>
    <w:rsid w:val="00164718"/>
    <w:rsid w:val="00167A40"/>
    <w:rsid w:val="00171050"/>
    <w:rsid w:val="001723EC"/>
    <w:rsid w:val="001761C1"/>
    <w:rsid w:val="00181A7A"/>
    <w:rsid w:val="00184CF2"/>
    <w:rsid w:val="00186652"/>
    <w:rsid w:val="001A0A43"/>
    <w:rsid w:val="001A351F"/>
    <w:rsid w:val="001B032A"/>
    <w:rsid w:val="001B0E17"/>
    <w:rsid w:val="001B2C14"/>
    <w:rsid w:val="001B3D40"/>
    <w:rsid w:val="001B5BAC"/>
    <w:rsid w:val="001B66AB"/>
    <w:rsid w:val="001C0B26"/>
    <w:rsid w:val="001C0E32"/>
    <w:rsid w:val="001C1B1A"/>
    <w:rsid w:val="001C1DDA"/>
    <w:rsid w:val="001C2C10"/>
    <w:rsid w:val="001C3895"/>
    <w:rsid w:val="001C62D1"/>
    <w:rsid w:val="001C7D39"/>
    <w:rsid w:val="001D22A0"/>
    <w:rsid w:val="001D269F"/>
    <w:rsid w:val="001D4018"/>
    <w:rsid w:val="001D6485"/>
    <w:rsid w:val="001D6D65"/>
    <w:rsid w:val="001E2B91"/>
    <w:rsid w:val="001E402E"/>
    <w:rsid w:val="001E42D4"/>
    <w:rsid w:val="001F0015"/>
    <w:rsid w:val="001F2A4A"/>
    <w:rsid w:val="001F2A7F"/>
    <w:rsid w:val="001F3102"/>
    <w:rsid w:val="001F401D"/>
    <w:rsid w:val="0020301E"/>
    <w:rsid w:val="00203302"/>
    <w:rsid w:val="00206C68"/>
    <w:rsid w:val="00215715"/>
    <w:rsid w:val="002208C6"/>
    <w:rsid w:val="00221C58"/>
    <w:rsid w:val="00223E9A"/>
    <w:rsid w:val="00224960"/>
    <w:rsid w:val="002251D6"/>
    <w:rsid w:val="002252DD"/>
    <w:rsid w:val="00226A06"/>
    <w:rsid w:val="00230BFE"/>
    <w:rsid w:val="0023567D"/>
    <w:rsid w:val="002436F5"/>
    <w:rsid w:val="00247CA2"/>
    <w:rsid w:val="00251136"/>
    <w:rsid w:val="0025348F"/>
    <w:rsid w:val="00254F0F"/>
    <w:rsid w:val="00255B09"/>
    <w:rsid w:val="00257780"/>
    <w:rsid w:val="00261EC4"/>
    <w:rsid w:val="00264606"/>
    <w:rsid w:val="00265308"/>
    <w:rsid w:val="002655B6"/>
    <w:rsid w:val="00266B27"/>
    <w:rsid w:val="00267B91"/>
    <w:rsid w:val="00275EF6"/>
    <w:rsid w:val="00275F60"/>
    <w:rsid w:val="002768F2"/>
    <w:rsid w:val="00280DCD"/>
    <w:rsid w:val="002814AB"/>
    <w:rsid w:val="0028271E"/>
    <w:rsid w:val="002831B8"/>
    <w:rsid w:val="00286A4D"/>
    <w:rsid w:val="00286D65"/>
    <w:rsid w:val="00286E57"/>
    <w:rsid w:val="002907F0"/>
    <w:rsid w:val="002932F0"/>
    <w:rsid w:val="002964E7"/>
    <w:rsid w:val="002A044B"/>
    <w:rsid w:val="002A284D"/>
    <w:rsid w:val="002A2928"/>
    <w:rsid w:val="002A6CF2"/>
    <w:rsid w:val="002B1C39"/>
    <w:rsid w:val="002B2784"/>
    <w:rsid w:val="002B2E45"/>
    <w:rsid w:val="002B37FA"/>
    <w:rsid w:val="002B4E1F"/>
    <w:rsid w:val="002C55FE"/>
    <w:rsid w:val="002C6867"/>
    <w:rsid w:val="002C7F9F"/>
    <w:rsid w:val="002D1D4C"/>
    <w:rsid w:val="002D4ED3"/>
    <w:rsid w:val="002D7518"/>
    <w:rsid w:val="002E3094"/>
    <w:rsid w:val="002E62C7"/>
    <w:rsid w:val="002F4347"/>
    <w:rsid w:val="002F61B6"/>
    <w:rsid w:val="00303D74"/>
    <w:rsid w:val="00304858"/>
    <w:rsid w:val="00312523"/>
    <w:rsid w:val="003151F0"/>
    <w:rsid w:val="00316A7E"/>
    <w:rsid w:val="0032744E"/>
    <w:rsid w:val="00330E75"/>
    <w:rsid w:val="003324A1"/>
    <w:rsid w:val="0033299D"/>
    <w:rsid w:val="00332A15"/>
    <w:rsid w:val="00336B1F"/>
    <w:rsid w:val="00336DF0"/>
    <w:rsid w:val="003407C1"/>
    <w:rsid w:val="00342579"/>
    <w:rsid w:val="00342850"/>
    <w:rsid w:val="003449A3"/>
    <w:rsid w:val="003472A5"/>
    <w:rsid w:val="00350776"/>
    <w:rsid w:val="0035589F"/>
    <w:rsid w:val="00363299"/>
    <w:rsid w:val="0036376E"/>
    <w:rsid w:val="00363E94"/>
    <w:rsid w:val="00366718"/>
    <w:rsid w:val="0037208D"/>
    <w:rsid w:val="00374BBA"/>
    <w:rsid w:val="003778DA"/>
    <w:rsid w:val="00377FBD"/>
    <w:rsid w:val="00380973"/>
    <w:rsid w:val="003837C6"/>
    <w:rsid w:val="003849A8"/>
    <w:rsid w:val="003905F1"/>
    <w:rsid w:val="003948BC"/>
    <w:rsid w:val="00394930"/>
    <w:rsid w:val="00394B3B"/>
    <w:rsid w:val="003A1134"/>
    <w:rsid w:val="003A201B"/>
    <w:rsid w:val="003A368C"/>
    <w:rsid w:val="003A5DAC"/>
    <w:rsid w:val="003B0A33"/>
    <w:rsid w:val="003B440D"/>
    <w:rsid w:val="003B6581"/>
    <w:rsid w:val="003C0451"/>
    <w:rsid w:val="003C0F41"/>
    <w:rsid w:val="003C137B"/>
    <w:rsid w:val="003C20AF"/>
    <w:rsid w:val="003C37A0"/>
    <w:rsid w:val="003C5F5A"/>
    <w:rsid w:val="003C7232"/>
    <w:rsid w:val="003D233B"/>
    <w:rsid w:val="003D23AD"/>
    <w:rsid w:val="003D4C9E"/>
    <w:rsid w:val="003D4EAA"/>
    <w:rsid w:val="003D76EF"/>
    <w:rsid w:val="003E2DE5"/>
    <w:rsid w:val="003E6206"/>
    <w:rsid w:val="003E76D6"/>
    <w:rsid w:val="003F0D6C"/>
    <w:rsid w:val="003F12B4"/>
    <w:rsid w:val="003F1EA2"/>
    <w:rsid w:val="003F6D96"/>
    <w:rsid w:val="003F7976"/>
    <w:rsid w:val="00401FBB"/>
    <w:rsid w:val="004042CD"/>
    <w:rsid w:val="0040592F"/>
    <w:rsid w:val="00406360"/>
    <w:rsid w:val="00411F68"/>
    <w:rsid w:val="004122CC"/>
    <w:rsid w:val="004128AF"/>
    <w:rsid w:val="00413961"/>
    <w:rsid w:val="00416A53"/>
    <w:rsid w:val="00423963"/>
    <w:rsid w:val="00424C03"/>
    <w:rsid w:val="00426221"/>
    <w:rsid w:val="00426854"/>
    <w:rsid w:val="004347BA"/>
    <w:rsid w:val="00440508"/>
    <w:rsid w:val="00443021"/>
    <w:rsid w:val="00444A80"/>
    <w:rsid w:val="00445C4F"/>
    <w:rsid w:val="00450BB1"/>
    <w:rsid w:val="00453046"/>
    <w:rsid w:val="00453682"/>
    <w:rsid w:val="00456986"/>
    <w:rsid w:val="00466077"/>
    <w:rsid w:val="004664DC"/>
    <w:rsid w:val="00474D22"/>
    <w:rsid w:val="00481E77"/>
    <w:rsid w:val="00484E43"/>
    <w:rsid w:val="00491FC6"/>
    <w:rsid w:val="004920DB"/>
    <w:rsid w:val="00494F0F"/>
    <w:rsid w:val="0049507E"/>
    <w:rsid w:val="004951B3"/>
    <w:rsid w:val="00495FD8"/>
    <w:rsid w:val="004A01D1"/>
    <w:rsid w:val="004A0977"/>
    <w:rsid w:val="004A1828"/>
    <w:rsid w:val="004B13C6"/>
    <w:rsid w:val="004B437B"/>
    <w:rsid w:val="004B5A3C"/>
    <w:rsid w:val="004C1DA0"/>
    <w:rsid w:val="004D0854"/>
    <w:rsid w:val="004D2FFC"/>
    <w:rsid w:val="004D3215"/>
    <w:rsid w:val="004D67C8"/>
    <w:rsid w:val="004E04AF"/>
    <w:rsid w:val="004E33FE"/>
    <w:rsid w:val="004E4868"/>
    <w:rsid w:val="004E5244"/>
    <w:rsid w:val="004F24E5"/>
    <w:rsid w:val="004F33CC"/>
    <w:rsid w:val="004F549E"/>
    <w:rsid w:val="004F6367"/>
    <w:rsid w:val="004F7202"/>
    <w:rsid w:val="004F72F4"/>
    <w:rsid w:val="00501CAB"/>
    <w:rsid w:val="0050232A"/>
    <w:rsid w:val="00503297"/>
    <w:rsid w:val="00507A9E"/>
    <w:rsid w:val="005101FF"/>
    <w:rsid w:val="00512242"/>
    <w:rsid w:val="00512DA3"/>
    <w:rsid w:val="00514000"/>
    <w:rsid w:val="00515D04"/>
    <w:rsid w:val="00524ECC"/>
    <w:rsid w:val="00527ABE"/>
    <w:rsid w:val="005322A1"/>
    <w:rsid w:val="00532451"/>
    <w:rsid w:val="00537B25"/>
    <w:rsid w:val="00542A08"/>
    <w:rsid w:val="00542D73"/>
    <w:rsid w:val="00542EBA"/>
    <w:rsid w:val="005464E3"/>
    <w:rsid w:val="00547702"/>
    <w:rsid w:val="005540A6"/>
    <w:rsid w:val="0055440A"/>
    <w:rsid w:val="00557EBC"/>
    <w:rsid w:val="0056066A"/>
    <w:rsid w:val="005609D4"/>
    <w:rsid w:val="0056310A"/>
    <w:rsid w:val="005646F3"/>
    <w:rsid w:val="005709A6"/>
    <w:rsid w:val="00572B50"/>
    <w:rsid w:val="00574AEC"/>
    <w:rsid w:val="005773E7"/>
    <w:rsid w:val="00577B02"/>
    <w:rsid w:val="00580948"/>
    <w:rsid w:val="005825F1"/>
    <w:rsid w:val="00582A2E"/>
    <w:rsid w:val="0058749F"/>
    <w:rsid w:val="005945F9"/>
    <w:rsid w:val="005955EA"/>
    <w:rsid w:val="00597B78"/>
    <w:rsid w:val="005A2789"/>
    <w:rsid w:val="005B23AF"/>
    <w:rsid w:val="005B4215"/>
    <w:rsid w:val="005C16B3"/>
    <w:rsid w:val="005C25CF"/>
    <w:rsid w:val="005C2B80"/>
    <w:rsid w:val="005C303C"/>
    <w:rsid w:val="005C7F82"/>
    <w:rsid w:val="005D0866"/>
    <w:rsid w:val="005D537D"/>
    <w:rsid w:val="005D5858"/>
    <w:rsid w:val="005D5C82"/>
    <w:rsid w:val="005D5CAF"/>
    <w:rsid w:val="005E0DE1"/>
    <w:rsid w:val="005E4ED5"/>
    <w:rsid w:val="005E5A51"/>
    <w:rsid w:val="005E637C"/>
    <w:rsid w:val="005E7103"/>
    <w:rsid w:val="005E75FD"/>
    <w:rsid w:val="005F6DB2"/>
    <w:rsid w:val="00601274"/>
    <w:rsid w:val="0060208F"/>
    <w:rsid w:val="00604AAC"/>
    <w:rsid w:val="00605FB9"/>
    <w:rsid w:val="006075F7"/>
    <w:rsid w:val="00607964"/>
    <w:rsid w:val="00613086"/>
    <w:rsid w:val="0062075A"/>
    <w:rsid w:val="00623557"/>
    <w:rsid w:val="00625ED8"/>
    <w:rsid w:val="006271AA"/>
    <w:rsid w:val="00634DA7"/>
    <w:rsid w:val="006350C4"/>
    <w:rsid w:val="00642844"/>
    <w:rsid w:val="0064409B"/>
    <w:rsid w:val="006441C2"/>
    <w:rsid w:val="00644FCB"/>
    <w:rsid w:val="00645C44"/>
    <w:rsid w:val="00651EA5"/>
    <w:rsid w:val="00652643"/>
    <w:rsid w:val="00655E3F"/>
    <w:rsid w:val="0065745C"/>
    <w:rsid w:val="00660511"/>
    <w:rsid w:val="00665296"/>
    <w:rsid w:val="00665B54"/>
    <w:rsid w:val="00672978"/>
    <w:rsid w:val="006737D3"/>
    <w:rsid w:val="0067435B"/>
    <w:rsid w:val="0067730E"/>
    <w:rsid w:val="00680ED5"/>
    <w:rsid w:val="00680F63"/>
    <w:rsid w:val="00682D07"/>
    <w:rsid w:val="00683064"/>
    <w:rsid w:val="00687058"/>
    <w:rsid w:val="00690A81"/>
    <w:rsid w:val="00694430"/>
    <w:rsid w:val="00694677"/>
    <w:rsid w:val="006968C9"/>
    <w:rsid w:val="00697FAC"/>
    <w:rsid w:val="006A03A3"/>
    <w:rsid w:val="006A11C3"/>
    <w:rsid w:val="006A6EA7"/>
    <w:rsid w:val="006A74BC"/>
    <w:rsid w:val="006B3E8E"/>
    <w:rsid w:val="006B4FD8"/>
    <w:rsid w:val="006B503F"/>
    <w:rsid w:val="006B64A8"/>
    <w:rsid w:val="006B707C"/>
    <w:rsid w:val="006C24CB"/>
    <w:rsid w:val="006C2707"/>
    <w:rsid w:val="006C3727"/>
    <w:rsid w:val="006C5109"/>
    <w:rsid w:val="006C6020"/>
    <w:rsid w:val="006C758A"/>
    <w:rsid w:val="006D0225"/>
    <w:rsid w:val="006D15F6"/>
    <w:rsid w:val="006D1681"/>
    <w:rsid w:val="006D2E1F"/>
    <w:rsid w:val="006E1998"/>
    <w:rsid w:val="006E3151"/>
    <w:rsid w:val="006F0D99"/>
    <w:rsid w:val="006F3F1C"/>
    <w:rsid w:val="006F594C"/>
    <w:rsid w:val="006F7F2A"/>
    <w:rsid w:val="00701118"/>
    <w:rsid w:val="00703234"/>
    <w:rsid w:val="0070344F"/>
    <w:rsid w:val="00704C6B"/>
    <w:rsid w:val="00705BD4"/>
    <w:rsid w:val="00706159"/>
    <w:rsid w:val="0070672E"/>
    <w:rsid w:val="007107EE"/>
    <w:rsid w:val="00714BA2"/>
    <w:rsid w:val="007166C4"/>
    <w:rsid w:val="007211A4"/>
    <w:rsid w:val="00725EDA"/>
    <w:rsid w:val="00726D6D"/>
    <w:rsid w:val="00727E48"/>
    <w:rsid w:val="00730041"/>
    <w:rsid w:val="00730440"/>
    <w:rsid w:val="00731CFE"/>
    <w:rsid w:val="00732D8B"/>
    <w:rsid w:val="00737805"/>
    <w:rsid w:val="00740FDE"/>
    <w:rsid w:val="00746B11"/>
    <w:rsid w:val="007472C3"/>
    <w:rsid w:val="0075097C"/>
    <w:rsid w:val="00750A2A"/>
    <w:rsid w:val="0075175E"/>
    <w:rsid w:val="00752131"/>
    <w:rsid w:val="00760524"/>
    <w:rsid w:val="00760A63"/>
    <w:rsid w:val="00760B40"/>
    <w:rsid w:val="00764BD8"/>
    <w:rsid w:val="00765B65"/>
    <w:rsid w:val="00767D88"/>
    <w:rsid w:val="00770749"/>
    <w:rsid w:val="007717D2"/>
    <w:rsid w:val="007719C7"/>
    <w:rsid w:val="00771A91"/>
    <w:rsid w:val="00772C52"/>
    <w:rsid w:val="007748CE"/>
    <w:rsid w:val="007826D3"/>
    <w:rsid w:val="00793315"/>
    <w:rsid w:val="00795258"/>
    <w:rsid w:val="00796FDC"/>
    <w:rsid w:val="007979C4"/>
    <w:rsid w:val="007A0311"/>
    <w:rsid w:val="007A28BD"/>
    <w:rsid w:val="007A4003"/>
    <w:rsid w:val="007A5F9C"/>
    <w:rsid w:val="007B5078"/>
    <w:rsid w:val="007C01FC"/>
    <w:rsid w:val="007C2592"/>
    <w:rsid w:val="007C276C"/>
    <w:rsid w:val="007C2B58"/>
    <w:rsid w:val="007C2DE7"/>
    <w:rsid w:val="007C4355"/>
    <w:rsid w:val="007D21F3"/>
    <w:rsid w:val="007D39D6"/>
    <w:rsid w:val="007D4551"/>
    <w:rsid w:val="007D778D"/>
    <w:rsid w:val="007E1918"/>
    <w:rsid w:val="007E2895"/>
    <w:rsid w:val="007E2B35"/>
    <w:rsid w:val="007E30CA"/>
    <w:rsid w:val="007E461E"/>
    <w:rsid w:val="007E4620"/>
    <w:rsid w:val="007E4FEC"/>
    <w:rsid w:val="007E5CEF"/>
    <w:rsid w:val="007E720E"/>
    <w:rsid w:val="007F010C"/>
    <w:rsid w:val="007F1473"/>
    <w:rsid w:val="007F365E"/>
    <w:rsid w:val="007F45A7"/>
    <w:rsid w:val="007F788A"/>
    <w:rsid w:val="00800A2F"/>
    <w:rsid w:val="0080157A"/>
    <w:rsid w:val="00806ACE"/>
    <w:rsid w:val="00807638"/>
    <w:rsid w:val="00807E86"/>
    <w:rsid w:val="00810F3B"/>
    <w:rsid w:val="00811141"/>
    <w:rsid w:val="0081198A"/>
    <w:rsid w:val="00817B5C"/>
    <w:rsid w:val="008207CD"/>
    <w:rsid w:val="00821A2C"/>
    <w:rsid w:val="00825C43"/>
    <w:rsid w:val="00826955"/>
    <w:rsid w:val="0082717B"/>
    <w:rsid w:val="00830113"/>
    <w:rsid w:val="008312A9"/>
    <w:rsid w:val="0083145E"/>
    <w:rsid w:val="008332B7"/>
    <w:rsid w:val="008351B0"/>
    <w:rsid w:val="00840A44"/>
    <w:rsid w:val="0084469D"/>
    <w:rsid w:val="00844B2D"/>
    <w:rsid w:val="008604B2"/>
    <w:rsid w:val="00861DFE"/>
    <w:rsid w:val="00862825"/>
    <w:rsid w:val="00865E7B"/>
    <w:rsid w:val="0087487C"/>
    <w:rsid w:val="00874F6F"/>
    <w:rsid w:val="00875062"/>
    <w:rsid w:val="008754D1"/>
    <w:rsid w:val="0087687F"/>
    <w:rsid w:val="00881A56"/>
    <w:rsid w:val="00884EA8"/>
    <w:rsid w:val="00886238"/>
    <w:rsid w:val="008916EC"/>
    <w:rsid w:val="00892211"/>
    <w:rsid w:val="008938F7"/>
    <w:rsid w:val="00894FD4"/>
    <w:rsid w:val="008956EA"/>
    <w:rsid w:val="008972AF"/>
    <w:rsid w:val="00897861"/>
    <w:rsid w:val="008A053C"/>
    <w:rsid w:val="008A3C25"/>
    <w:rsid w:val="008A523D"/>
    <w:rsid w:val="008A6825"/>
    <w:rsid w:val="008A6BB2"/>
    <w:rsid w:val="008A718E"/>
    <w:rsid w:val="008B015E"/>
    <w:rsid w:val="008B0428"/>
    <w:rsid w:val="008B1784"/>
    <w:rsid w:val="008B3137"/>
    <w:rsid w:val="008B3E93"/>
    <w:rsid w:val="008B459B"/>
    <w:rsid w:val="008B4644"/>
    <w:rsid w:val="008B568D"/>
    <w:rsid w:val="008B5FE3"/>
    <w:rsid w:val="008C2C1A"/>
    <w:rsid w:val="008C2C4C"/>
    <w:rsid w:val="008C4F88"/>
    <w:rsid w:val="008D3142"/>
    <w:rsid w:val="008D3FAE"/>
    <w:rsid w:val="008D45BA"/>
    <w:rsid w:val="008D7F66"/>
    <w:rsid w:val="008E0937"/>
    <w:rsid w:val="008E16D2"/>
    <w:rsid w:val="008E5CBA"/>
    <w:rsid w:val="008F2058"/>
    <w:rsid w:val="008F2907"/>
    <w:rsid w:val="00901BEF"/>
    <w:rsid w:val="009026ED"/>
    <w:rsid w:val="009030BF"/>
    <w:rsid w:val="00903569"/>
    <w:rsid w:val="009055B3"/>
    <w:rsid w:val="00905B0F"/>
    <w:rsid w:val="00906749"/>
    <w:rsid w:val="00911C6C"/>
    <w:rsid w:val="00914263"/>
    <w:rsid w:val="00914280"/>
    <w:rsid w:val="009201D0"/>
    <w:rsid w:val="009202D3"/>
    <w:rsid w:val="00922786"/>
    <w:rsid w:val="009301A6"/>
    <w:rsid w:val="0093242F"/>
    <w:rsid w:val="00933C53"/>
    <w:rsid w:val="0093770F"/>
    <w:rsid w:val="00937DAC"/>
    <w:rsid w:val="00940A34"/>
    <w:rsid w:val="00940A79"/>
    <w:rsid w:val="0094272F"/>
    <w:rsid w:val="00943B7A"/>
    <w:rsid w:val="009440A2"/>
    <w:rsid w:val="00946D77"/>
    <w:rsid w:val="00950D81"/>
    <w:rsid w:val="009525BC"/>
    <w:rsid w:val="009568D7"/>
    <w:rsid w:val="00960A33"/>
    <w:rsid w:val="00961AC0"/>
    <w:rsid w:val="00963D1F"/>
    <w:rsid w:val="00965A50"/>
    <w:rsid w:val="00965D02"/>
    <w:rsid w:val="009674A5"/>
    <w:rsid w:val="00971042"/>
    <w:rsid w:val="0097618B"/>
    <w:rsid w:val="009774F9"/>
    <w:rsid w:val="009830C2"/>
    <w:rsid w:val="0098586A"/>
    <w:rsid w:val="0099219B"/>
    <w:rsid w:val="00993997"/>
    <w:rsid w:val="009968F2"/>
    <w:rsid w:val="009A393E"/>
    <w:rsid w:val="009A73DE"/>
    <w:rsid w:val="009B0E42"/>
    <w:rsid w:val="009B69CD"/>
    <w:rsid w:val="009C34B2"/>
    <w:rsid w:val="009D0DFB"/>
    <w:rsid w:val="009D3443"/>
    <w:rsid w:val="009D3DBD"/>
    <w:rsid w:val="009D575C"/>
    <w:rsid w:val="009E1F05"/>
    <w:rsid w:val="009E2E63"/>
    <w:rsid w:val="009E66C3"/>
    <w:rsid w:val="009E79BE"/>
    <w:rsid w:val="009F0F2B"/>
    <w:rsid w:val="009F226A"/>
    <w:rsid w:val="009F33C9"/>
    <w:rsid w:val="009F4A96"/>
    <w:rsid w:val="009F570B"/>
    <w:rsid w:val="009F57B5"/>
    <w:rsid w:val="009F7600"/>
    <w:rsid w:val="00A03365"/>
    <w:rsid w:val="00A03BEF"/>
    <w:rsid w:val="00A04B8E"/>
    <w:rsid w:val="00A04D88"/>
    <w:rsid w:val="00A07879"/>
    <w:rsid w:val="00A1057B"/>
    <w:rsid w:val="00A1402E"/>
    <w:rsid w:val="00A1474E"/>
    <w:rsid w:val="00A156A1"/>
    <w:rsid w:val="00A1618E"/>
    <w:rsid w:val="00A219F3"/>
    <w:rsid w:val="00A21C73"/>
    <w:rsid w:val="00A23E01"/>
    <w:rsid w:val="00A24135"/>
    <w:rsid w:val="00A25C8D"/>
    <w:rsid w:val="00A265CD"/>
    <w:rsid w:val="00A3061A"/>
    <w:rsid w:val="00A35685"/>
    <w:rsid w:val="00A37F68"/>
    <w:rsid w:val="00A416F8"/>
    <w:rsid w:val="00A41A02"/>
    <w:rsid w:val="00A42E97"/>
    <w:rsid w:val="00A478AC"/>
    <w:rsid w:val="00A50D6A"/>
    <w:rsid w:val="00A50FFE"/>
    <w:rsid w:val="00A541A1"/>
    <w:rsid w:val="00A60798"/>
    <w:rsid w:val="00A60BC7"/>
    <w:rsid w:val="00A62193"/>
    <w:rsid w:val="00A62552"/>
    <w:rsid w:val="00A65C80"/>
    <w:rsid w:val="00A66589"/>
    <w:rsid w:val="00A7060B"/>
    <w:rsid w:val="00A70D02"/>
    <w:rsid w:val="00A741FD"/>
    <w:rsid w:val="00A81C7A"/>
    <w:rsid w:val="00A83578"/>
    <w:rsid w:val="00A86E94"/>
    <w:rsid w:val="00A87E79"/>
    <w:rsid w:val="00A927B8"/>
    <w:rsid w:val="00A92A6E"/>
    <w:rsid w:val="00A92C42"/>
    <w:rsid w:val="00A93B18"/>
    <w:rsid w:val="00A9696C"/>
    <w:rsid w:val="00A96B49"/>
    <w:rsid w:val="00A96D72"/>
    <w:rsid w:val="00AA12F7"/>
    <w:rsid w:val="00AA24D4"/>
    <w:rsid w:val="00AA41AD"/>
    <w:rsid w:val="00AB20CE"/>
    <w:rsid w:val="00AB22E0"/>
    <w:rsid w:val="00AB2F41"/>
    <w:rsid w:val="00AB3AEC"/>
    <w:rsid w:val="00AB4681"/>
    <w:rsid w:val="00AB4E72"/>
    <w:rsid w:val="00AB5B30"/>
    <w:rsid w:val="00AB7D0E"/>
    <w:rsid w:val="00AC0484"/>
    <w:rsid w:val="00AC2203"/>
    <w:rsid w:val="00AC2903"/>
    <w:rsid w:val="00AC3BE4"/>
    <w:rsid w:val="00AC48A2"/>
    <w:rsid w:val="00AC4FD6"/>
    <w:rsid w:val="00AC571E"/>
    <w:rsid w:val="00AD14F4"/>
    <w:rsid w:val="00AD2FDB"/>
    <w:rsid w:val="00AD52CD"/>
    <w:rsid w:val="00AD5960"/>
    <w:rsid w:val="00AE31BB"/>
    <w:rsid w:val="00AE40D5"/>
    <w:rsid w:val="00AE4482"/>
    <w:rsid w:val="00AE6B19"/>
    <w:rsid w:val="00AF43EC"/>
    <w:rsid w:val="00AF4B41"/>
    <w:rsid w:val="00AF5241"/>
    <w:rsid w:val="00B00F26"/>
    <w:rsid w:val="00B02147"/>
    <w:rsid w:val="00B029A1"/>
    <w:rsid w:val="00B0347D"/>
    <w:rsid w:val="00B05653"/>
    <w:rsid w:val="00B07C5E"/>
    <w:rsid w:val="00B12C91"/>
    <w:rsid w:val="00B13268"/>
    <w:rsid w:val="00B13906"/>
    <w:rsid w:val="00B15262"/>
    <w:rsid w:val="00B1712E"/>
    <w:rsid w:val="00B173DC"/>
    <w:rsid w:val="00B2275A"/>
    <w:rsid w:val="00B23CAE"/>
    <w:rsid w:val="00B26C33"/>
    <w:rsid w:val="00B34C80"/>
    <w:rsid w:val="00B4106D"/>
    <w:rsid w:val="00B417C8"/>
    <w:rsid w:val="00B44C4A"/>
    <w:rsid w:val="00B47524"/>
    <w:rsid w:val="00B5165D"/>
    <w:rsid w:val="00B5267A"/>
    <w:rsid w:val="00B55602"/>
    <w:rsid w:val="00B6179B"/>
    <w:rsid w:val="00B617E1"/>
    <w:rsid w:val="00B61E7F"/>
    <w:rsid w:val="00B65018"/>
    <w:rsid w:val="00B74BEC"/>
    <w:rsid w:val="00B755D9"/>
    <w:rsid w:val="00B819F9"/>
    <w:rsid w:val="00B8798B"/>
    <w:rsid w:val="00B87FDA"/>
    <w:rsid w:val="00B929EB"/>
    <w:rsid w:val="00B93FA9"/>
    <w:rsid w:val="00B945E3"/>
    <w:rsid w:val="00B94F2F"/>
    <w:rsid w:val="00B95DEE"/>
    <w:rsid w:val="00BA1DD4"/>
    <w:rsid w:val="00BA5BD1"/>
    <w:rsid w:val="00BA6B35"/>
    <w:rsid w:val="00BB6831"/>
    <w:rsid w:val="00BC310B"/>
    <w:rsid w:val="00BC3E37"/>
    <w:rsid w:val="00BC697F"/>
    <w:rsid w:val="00BD4143"/>
    <w:rsid w:val="00BD5386"/>
    <w:rsid w:val="00BE17CD"/>
    <w:rsid w:val="00BE1E9C"/>
    <w:rsid w:val="00BE2F23"/>
    <w:rsid w:val="00BE6884"/>
    <w:rsid w:val="00BE6AA6"/>
    <w:rsid w:val="00BE7044"/>
    <w:rsid w:val="00BE7D34"/>
    <w:rsid w:val="00BF0042"/>
    <w:rsid w:val="00BF0967"/>
    <w:rsid w:val="00BF39A3"/>
    <w:rsid w:val="00C020A0"/>
    <w:rsid w:val="00C02E02"/>
    <w:rsid w:val="00C06D8A"/>
    <w:rsid w:val="00C07D1F"/>
    <w:rsid w:val="00C10270"/>
    <w:rsid w:val="00C11092"/>
    <w:rsid w:val="00C12F2A"/>
    <w:rsid w:val="00C12F53"/>
    <w:rsid w:val="00C163E5"/>
    <w:rsid w:val="00C2525F"/>
    <w:rsid w:val="00C27873"/>
    <w:rsid w:val="00C30331"/>
    <w:rsid w:val="00C332FE"/>
    <w:rsid w:val="00C35013"/>
    <w:rsid w:val="00C361C3"/>
    <w:rsid w:val="00C5376E"/>
    <w:rsid w:val="00C546CA"/>
    <w:rsid w:val="00C61533"/>
    <w:rsid w:val="00C63501"/>
    <w:rsid w:val="00C700C6"/>
    <w:rsid w:val="00C7190C"/>
    <w:rsid w:val="00C74183"/>
    <w:rsid w:val="00C74CDA"/>
    <w:rsid w:val="00C778D1"/>
    <w:rsid w:val="00C82530"/>
    <w:rsid w:val="00C838EC"/>
    <w:rsid w:val="00C85005"/>
    <w:rsid w:val="00C863E3"/>
    <w:rsid w:val="00C87A41"/>
    <w:rsid w:val="00CA1AEE"/>
    <w:rsid w:val="00CA242D"/>
    <w:rsid w:val="00CA31B8"/>
    <w:rsid w:val="00CA67D0"/>
    <w:rsid w:val="00CB0225"/>
    <w:rsid w:val="00CB2BFD"/>
    <w:rsid w:val="00CB2CA3"/>
    <w:rsid w:val="00CB4E74"/>
    <w:rsid w:val="00CB68BA"/>
    <w:rsid w:val="00CB6BDD"/>
    <w:rsid w:val="00CB6F3E"/>
    <w:rsid w:val="00CC2809"/>
    <w:rsid w:val="00CC767B"/>
    <w:rsid w:val="00CD68CE"/>
    <w:rsid w:val="00CE0E28"/>
    <w:rsid w:val="00CE2639"/>
    <w:rsid w:val="00CE6415"/>
    <w:rsid w:val="00CE7759"/>
    <w:rsid w:val="00CF091B"/>
    <w:rsid w:val="00CF1986"/>
    <w:rsid w:val="00CF6B09"/>
    <w:rsid w:val="00CF6E98"/>
    <w:rsid w:val="00D116B8"/>
    <w:rsid w:val="00D118EA"/>
    <w:rsid w:val="00D12C01"/>
    <w:rsid w:val="00D131D5"/>
    <w:rsid w:val="00D16B53"/>
    <w:rsid w:val="00D17C4F"/>
    <w:rsid w:val="00D2019F"/>
    <w:rsid w:val="00D213E4"/>
    <w:rsid w:val="00D23308"/>
    <w:rsid w:val="00D23821"/>
    <w:rsid w:val="00D263A2"/>
    <w:rsid w:val="00D31166"/>
    <w:rsid w:val="00D3653E"/>
    <w:rsid w:val="00D400F5"/>
    <w:rsid w:val="00D43726"/>
    <w:rsid w:val="00D442B9"/>
    <w:rsid w:val="00D44E20"/>
    <w:rsid w:val="00D45D02"/>
    <w:rsid w:val="00D51089"/>
    <w:rsid w:val="00D5691B"/>
    <w:rsid w:val="00D571AF"/>
    <w:rsid w:val="00D574A4"/>
    <w:rsid w:val="00D62753"/>
    <w:rsid w:val="00D63698"/>
    <w:rsid w:val="00D721E9"/>
    <w:rsid w:val="00D73BEE"/>
    <w:rsid w:val="00D760CE"/>
    <w:rsid w:val="00D80C93"/>
    <w:rsid w:val="00D838A0"/>
    <w:rsid w:val="00D866AD"/>
    <w:rsid w:val="00D871D3"/>
    <w:rsid w:val="00D924DB"/>
    <w:rsid w:val="00D94444"/>
    <w:rsid w:val="00D9603B"/>
    <w:rsid w:val="00DA0B29"/>
    <w:rsid w:val="00DA3240"/>
    <w:rsid w:val="00DA3697"/>
    <w:rsid w:val="00DA5C40"/>
    <w:rsid w:val="00DA63BE"/>
    <w:rsid w:val="00DB00B8"/>
    <w:rsid w:val="00DB0E85"/>
    <w:rsid w:val="00DB4BA9"/>
    <w:rsid w:val="00DB60E4"/>
    <w:rsid w:val="00DC0B71"/>
    <w:rsid w:val="00DC0DFE"/>
    <w:rsid w:val="00DC6273"/>
    <w:rsid w:val="00DC6485"/>
    <w:rsid w:val="00DC7EE1"/>
    <w:rsid w:val="00DD0E75"/>
    <w:rsid w:val="00DD2076"/>
    <w:rsid w:val="00DD76F6"/>
    <w:rsid w:val="00DE01D8"/>
    <w:rsid w:val="00DE1053"/>
    <w:rsid w:val="00DE4054"/>
    <w:rsid w:val="00DE7C73"/>
    <w:rsid w:val="00DF0566"/>
    <w:rsid w:val="00DF161B"/>
    <w:rsid w:val="00E0318D"/>
    <w:rsid w:val="00E040FF"/>
    <w:rsid w:val="00E0419C"/>
    <w:rsid w:val="00E0441A"/>
    <w:rsid w:val="00E04F02"/>
    <w:rsid w:val="00E076E2"/>
    <w:rsid w:val="00E10FCC"/>
    <w:rsid w:val="00E175F7"/>
    <w:rsid w:val="00E21488"/>
    <w:rsid w:val="00E2335D"/>
    <w:rsid w:val="00E23780"/>
    <w:rsid w:val="00E23BE5"/>
    <w:rsid w:val="00E263B2"/>
    <w:rsid w:val="00E27C79"/>
    <w:rsid w:val="00E30634"/>
    <w:rsid w:val="00E31562"/>
    <w:rsid w:val="00E31801"/>
    <w:rsid w:val="00E329A5"/>
    <w:rsid w:val="00E33916"/>
    <w:rsid w:val="00E34268"/>
    <w:rsid w:val="00E41E9D"/>
    <w:rsid w:val="00E41F6E"/>
    <w:rsid w:val="00E43011"/>
    <w:rsid w:val="00E43D26"/>
    <w:rsid w:val="00E5207B"/>
    <w:rsid w:val="00E54592"/>
    <w:rsid w:val="00E55495"/>
    <w:rsid w:val="00E5755F"/>
    <w:rsid w:val="00E57A03"/>
    <w:rsid w:val="00E57E05"/>
    <w:rsid w:val="00E612E3"/>
    <w:rsid w:val="00E63100"/>
    <w:rsid w:val="00E67B34"/>
    <w:rsid w:val="00E70AA9"/>
    <w:rsid w:val="00E71FED"/>
    <w:rsid w:val="00E72110"/>
    <w:rsid w:val="00E724E8"/>
    <w:rsid w:val="00E77968"/>
    <w:rsid w:val="00E80985"/>
    <w:rsid w:val="00E84C22"/>
    <w:rsid w:val="00E85219"/>
    <w:rsid w:val="00E90FD5"/>
    <w:rsid w:val="00E93CB2"/>
    <w:rsid w:val="00EA3CEA"/>
    <w:rsid w:val="00EA3F03"/>
    <w:rsid w:val="00EA432D"/>
    <w:rsid w:val="00EB000A"/>
    <w:rsid w:val="00EB1BBB"/>
    <w:rsid w:val="00EB586E"/>
    <w:rsid w:val="00EB67E8"/>
    <w:rsid w:val="00EB7298"/>
    <w:rsid w:val="00EB7655"/>
    <w:rsid w:val="00EC083A"/>
    <w:rsid w:val="00ED0F60"/>
    <w:rsid w:val="00ED0FC6"/>
    <w:rsid w:val="00ED2F42"/>
    <w:rsid w:val="00ED4163"/>
    <w:rsid w:val="00ED638E"/>
    <w:rsid w:val="00ED6F8F"/>
    <w:rsid w:val="00EE1CA8"/>
    <w:rsid w:val="00EE2247"/>
    <w:rsid w:val="00EE268D"/>
    <w:rsid w:val="00EE2CEA"/>
    <w:rsid w:val="00EE3357"/>
    <w:rsid w:val="00EE5A85"/>
    <w:rsid w:val="00EE64B7"/>
    <w:rsid w:val="00EF1E39"/>
    <w:rsid w:val="00EF2826"/>
    <w:rsid w:val="00EF3E7B"/>
    <w:rsid w:val="00F045FC"/>
    <w:rsid w:val="00F057A4"/>
    <w:rsid w:val="00F130DC"/>
    <w:rsid w:val="00F1418D"/>
    <w:rsid w:val="00F1491A"/>
    <w:rsid w:val="00F15137"/>
    <w:rsid w:val="00F20B4F"/>
    <w:rsid w:val="00F21093"/>
    <w:rsid w:val="00F22B1C"/>
    <w:rsid w:val="00F23EB1"/>
    <w:rsid w:val="00F2620B"/>
    <w:rsid w:val="00F30A65"/>
    <w:rsid w:val="00F37578"/>
    <w:rsid w:val="00F45E08"/>
    <w:rsid w:val="00F45EB3"/>
    <w:rsid w:val="00F47E8A"/>
    <w:rsid w:val="00F52BC9"/>
    <w:rsid w:val="00F56201"/>
    <w:rsid w:val="00F56938"/>
    <w:rsid w:val="00F57DE9"/>
    <w:rsid w:val="00F63262"/>
    <w:rsid w:val="00F63D12"/>
    <w:rsid w:val="00F6598F"/>
    <w:rsid w:val="00F67230"/>
    <w:rsid w:val="00F67F60"/>
    <w:rsid w:val="00F741A6"/>
    <w:rsid w:val="00F80185"/>
    <w:rsid w:val="00F839F0"/>
    <w:rsid w:val="00F83D13"/>
    <w:rsid w:val="00F85FCD"/>
    <w:rsid w:val="00F870B9"/>
    <w:rsid w:val="00F90159"/>
    <w:rsid w:val="00F91C76"/>
    <w:rsid w:val="00F92997"/>
    <w:rsid w:val="00F9429A"/>
    <w:rsid w:val="00F945A2"/>
    <w:rsid w:val="00F94E32"/>
    <w:rsid w:val="00F969A2"/>
    <w:rsid w:val="00FA169E"/>
    <w:rsid w:val="00FA30B6"/>
    <w:rsid w:val="00FA450D"/>
    <w:rsid w:val="00FA594B"/>
    <w:rsid w:val="00FA6D09"/>
    <w:rsid w:val="00FA7FE6"/>
    <w:rsid w:val="00FB2064"/>
    <w:rsid w:val="00FB2735"/>
    <w:rsid w:val="00FB2B0C"/>
    <w:rsid w:val="00FB375A"/>
    <w:rsid w:val="00FB4CB8"/>
    <w:rsid w:val="00FB5127"/>
    <w:rsid w:val="00FB57EA"/>
    <w:rsid w:val="00FC25AF"/>
    <w:rsid w:val="00FC2B86"/>
    <w:rsid w:val="00FC33A9"/>
    <w:rsid w:val="00FC33C3"/>
    <w:rsid w:val="00FC3760"/>
    <w:rsid w:val="00FC4F1C"/>
    <w:rsid w:val="00FC6D6D"/>
    <w:rsid w:val="00FC7F67"/>
    <w:rsid w:val="00FD0B54"/>
    <w:rsid w:val="00FD0D78"/>
    <w:rsid w:val="00FD2F8B"/>
    <w:rsid w:val="00FD3B7A"/>
    <w:rsid w:val="00FD54D1"/>
    <w:rsid w:val="00FD6EBD"/>
    <w:rsid w:val="00FD77DC"/>
    <w:rsid w:val="00FE139B"/>
    <w:rsid w:val="00FE2F5B"/>
    <w:rsid w:val="00FE51B2"/>
    <w:rsid w:val="00FF71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0AF6FD96"/>
  <w15:docId w15:val="{1BEE06D9-EC38-4A3A-9FF9-6171C5CFD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Stat Normal"/>
    <w:rsid w:val="00A35685"/>
    <w:rPr>
      <w:rFonts w:ascii="Times New Roman" w:eastAsiaTheme="minorHAnsi" w:hAnsi="Times New Roman" w:cstheme="minorBidi"/>
      <w:noProof/>
      <w:sz w:val="22"/>
      <w:szCs w:val="22"/>
      <w:lang w:val="en-GB" w:eastAsia="en-GB"/>
    </w:rPr>
  </w:style>
  <w:style w:type="paragraph" w:styleId="Heading1">
    <w:name w:val="heading 1"/>
    <w:basedOn w:val="Normal"/>
    <w:link w:val="Heading1Char"/>
    <w:uiPriority w:val="9"/>
    <w:rsid w:val="00EC083A"/>
    <w:pPr>
      <w:ind w:left="871"/>
      <w:outlineLvl w:val="0"/>
    </w:pPr>
    <w:rPr>
      <w:rFonts w:eastAsia="Times New Roman"/>
      <w:b/>
      <w:bCs/>
    </w:rPr>
  </w:style>
  <w:style w:type="character" w:default="1" w:styleId="DefaultParagraphFont">
    <w:name w:val="Default Paragraph Font"/>
    <w:uiPriority w:val="1"/>
    <w:unhideWhenUsed/>
    <w:rsid w:val="00EC083A"/>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EC083A"/>
  </w:style>
  <w:style w:type="paragraph" w:styleId="Footer">
    <w:name w:val="footer"/>
    <w:basedOn w:val="Normal"/>
    <w:link w:val="FooterChar"/>
    <w:uiPriority w:val="99"/>
    <w:unhideWhenUsed/>
    <w:rsid w:val="00EC083A"/>
    <w:pPr>
      <w:tabs>
        <w:tab w:val="center" w:pos="4513"/>
        <w:tab w:val="right" w:pos="9026"/>
      </w:tabs>
    </w:pPr>
  </w:style>
  <w:style w:type="character" w:customStyle="1" w:styleId="FooterChar">
    <w:name w:val="Footer Char"/>
    <w:basedOn w:val="DefaultParagraphFont"/>
    <w:link w:val="Footer"/>
    <w:uiPriority w:val="99"/>
    <w:rsid w:val="00EC083A"/>
    <w:rPr>
      <w:rFonts w:ascii="Times New Roman" w:eastAsiaTheme="minorHAnsi" w:hAnsi="Times New Roman" w:cstheme="minorBidi"/>
      <w:noProof/>
      <w:sz w:val="22"/>
      <w:szCs w:val="22"/>
      <w:lang w:val="en-GB" w:eastAsia="en-GB"/>
    </w:rPr>
  </w:style>
  <w:style w:type="paragraph" w:styleId="Header">
    <w:name w:val="header"/>
    <w:basedOn w:val="Normal"/>
    <w:link w:val="HeaderChar"/>
    <w:uiPriority w:val="99"/>
    <w:unhideWhenUsed/>
    <w:rsid w:val="00EC083A"/>
    <w:pPr>
      <w:tabs>
        <w:tab w:val="center" w:pos="4513"/>
        <w:tab w:val="right" w:pos="9026"/>
      </w:tabs>
    </w:pPr>
  </w:style>
  <w:style w:type="character" w:customStyle="1" w:styleId="HeaderChar">
    <w:name w:val="Header Char"/>
    <w:basedOn w:val="DefaultParagraphFont"/>
    <w:link w:val="Header"/>
    <w:uiPriority w:val="99"/>
    <w:rsid w:val="00EC083A"/>
    <w:rPr>
      <w:rFonts w:ascii="Times New Roman" w:eastAsiaTheme="minorHAnsi" w:hAnsi="Times New Roman" w:cstheme="minorBidi"/>
      <w:noProof/>
      <w:sz w:val="22"/>
      <w:szCs w:val="22"/>
      <w:lang w:val="en-GB" w:eastAsia="en-GB"/>
    </w:rPr>
  </w:style>
  <w:style w:type="paragraph" w:styleId="BalloonText">
    <w:name w:val="Balloon Text"/>
    <w:basedOn w:val="Normal"/>
    <w:link w:val="BalloonTextChar"/>
    <w:uiPriority w:val="99"/>
    <w:semiHidden/>
    <w:unhideWhenUsed/>
    <w:rsid w:val="00EC083A"/>
    <w:rPr>
      <w:rFonts w:ascii="Tahoma" w:hAnsi="Tahoma" w:cs="Tahoma"/>
      <w:sz w:val="16"/>
      <w:szCs w:val="16"/>
    </w:rPr>
  </w:style>
  <w:style w:type="character" w:customStyle="1" w:styleId="BalloonTextChar">
    <w:name w:val="Balloon Text Char"/>
    <w:basedOn w:val="DefaultParagraphFont"/>
    <w:link w:val="BalloonText"/>
    <w:uiPriority w:val="99"/>
    <w:semiHidden/>
    <w:rsid w:val="00EC083A"/>
    <w:rPr>
      <w:rFonts w:ascii="Tahoma" w:eastAsiaTheme="minorHAnsi" w:hAnsi="Tahoma" w:cs="Tahoma"/>
      <w:noProof/>
      <w:sz w:val="16"/>
      <w:szCs w:val="16"/>
      <w:lang w:val="en-GB" w:eastAsia="en-GB"/>
    </w:rPr>
  </w:style>
  <w:style w:type="paragraph" w:customStyle="1" w:styleId="REG-H3A">
    <w:name w:val="REG-H3A"/>
    <w:link w:val="REG-H3AChar"/>
    <w:qFormat/>
    <w:rsid w:val="00EC083A"/>
    <w:pPr>
      <w:autoSpaceDE w:val="0"/>
      <w:autoSpaceDN w:val="0"/>
      <w:adjustRightInd w:val="0"/>
      <w:jc w:val="center"/>
    </w:pPr>
    <w:rPr>
      <w:rFonts w:ascii="Times New Roman" w:eastAsiaTheme="minorHAnsi" w:hAnsi="Times New Roman"/>
      <w:b/>
      <w:caps/>
      <w:sz w:val="22"/>
      <w:szCs w:val="22"/>
      <w:lang w:val="en-GB" w:eastAsia="en-GB"/>
    </w:rPr>
  </w:style>
  <w:style w:type="paragraph" w:styleId="ListBullet">
    <w:name w:val="List Bullet"/>
    <w:basedOn w:val="Normal"/>
    <w:uiPriority w:val="99"/>
    <w:unhideWhenUsed/>
    <w:rsid w:val="00EC083A"/>
    <w:pPr>
      <w:numPr>
        <w:numId w:val="1"/>
      </w:numPr>
      <w:contextualSpacing/>
    </w:pPr>
  </w:style>
  <w:style w:type="character" w:customStyle="1" w:styleId="REG-H3AChar">
    <w:name w:val="REG-H3A Char"/>
    <w:basedOn w:val="DefaultParagraphFont"/>
    <w:link w:val="REG-H3A"/>
    <w:rsid w:val="00EC083A"/>
    <w:rPr>
      <w:rFonts w:ascii="Times New Roman" w:eastAsiaTheme="minorHAnsi" w:hAnsi="Times New Roman"/>
      <w:b/>
      <w:caps/>
      <w:sz w:val="22"/>
      <w:szCs w:val="22"/>
      <w:lang w:val="en-GB" w:eastAsia="en-GB"/>
    </w:rPr>
  </w:style>
  <w:style w:type="character" w:customStyle="1" w:styleId="A3">
    <w:name w:val="A3"/>
    <w:uiPriority w:val="99"/>
    <w:rsid w:val="00EC083A"/>
    <w:rPr>
      <w:rFonts w:cs="Times"/>
      <w:color w:val="000000"/>
      <w:sz w:val="22"/>
      <w:szCs w:val="22"/>
    </w:rPr>
  </w:style>
  <w:style w:type="paragraph" w:customStyle="1" w:styleId="Head2B">
    <w:name w:val="Head 2B"/>
    <w:basedOn w:val="AS-H3A"/>
    <w:link w:val="Head2BChar"/>
    <w:rsid w:val="00EC083A"/>
  </w:style>
  <w:style w:type="paragraph" w:styleId="ListParagraph">
    <w:name w:val="List Paragraph"/>
    <w:basedOn w:val="Normal"/>
    <w:link w:val="ListParagraphChar"/>
    <w:uiPriority w:val="34"/>
    <w:rsid w:val="00EC083A"/>
    <w:pPr>
      <w:ind w:left="720"/>
      <w:contextualSpacing/>
    </w:pPr>
  </w:style>
  <w:style w:type="character" w:customStyle="1" w:styleId="Head2BChar">
    <w:name w:val="Head 2B Char"/>
    <w:basedOn w:val="AS-H3AChar"/>
    <w:link w:val="Head2B"/>
    <w:rsid w:val="00EC083A"/>
    <w:rPr>
      <w:rFonts w:ascii="Times New Roman" w:eastAsiaTheme="minorHAnsi" w:hAnsi="Times New Roman"/>
      <w:b/>
      <w:caps/>
      <w:noProof/>
      <w:sz w:val="22"/>
      <w:szCs w:val="22"/>
      <w:lang w:val="en-GB" w:eastAsia="en-GB"/>
    </w:rPr>
  </w:style>
  <w:style w:type="paragraph" w:customStyle="1" w:styleId="Head3">
    <w:name w:val="Head 3"/>
    <w:basedOn w:val="ListParagraph"/>
    <w:link w:val="Head3Char"/>
    <w:rsid w:val="00EC083A"/>
    <w:pPr>
      <w:suppressAutoHyphens/>
      <w:ind w:left="0"/>
      <w:jc w:val="both"/>
    </w:pPr>
    <w:rPr>
      <w:rFonts w:eastAsia="Times New Roman"/>
      <w:b/>
      <w:bCs/>
    </w:rPr>
  </w:style>
  <w:style w:type="character" w:customStyle="1" w:styleId="ListParagraphChar">
    <w:name w:val="List Paragraph Char"/>
    <w:basedOn w:val="DefaultParagraphFont"/>
    <w:link w:val="ListParagraph"/>
    <w:uiPriority w:val="34"/>
    <w:rsid w:val="00EC083A"/>
    <w:rPr>
      <w:rFonts w:ascii="Times New Roman" w:eastAsiaTheme="minorHAnsi" w:hAnsi="Times New Roman" w:cstheme="minorBidi"/>
      <w:noProof/>
      <w:sz w:val="22"/>
      <w:szCs w:val="22"/>
      <w:lang w:val="en-GB" w:eastAsia="en-GB"/>
    </w:rPr>
  </w:style>
  <w:style w:type="character" w:customStyle="1" w:styleId="Head3Char">
    <w:name w:val="Head 3 Char"/>
    <w:basedOn w:val="ListParagraphChar"/>
    <w:link w:val="Head3"/>
    <w:rsid w:val="00EC083A"/>
    <w:rPr>
      <w:rFonts w:ascii="Times New Roman" w:eastAsia="Times New Roman" w:hAnsi="Times New Roman" w:cstheme="minorBidi"/>
      <w:b/>
      <w:bCs/>
      <w:noProof/>
      <w:sz w:val="22"/>
      <w:szCs w:val="22"/>
      <w:lang w:val="en-GB" w:eastAsia="en-GB"/>
    </w:rPr>
  </w:style>
  <w:style w:type="paragraph" w:customStyle="1" w:styleId="REG-H1a">
    <w:name w:val="REG-H1a"/>
    <w:link w:val="REG-H1aChar"/>
    <w:qFormat/>
    <w:rsid w:val="00EC083A"/>
    <w:pPr>
      <w:suppressAutoHyphens/>
      <w:autoSpaceDE w:val="0"/>
      <w:autoSpaceDN w:val="0"/>
      <w:adjustRightInd w:val="0"/>
      <w:jc w:val="center"/>
    </w:pPr>
    <w:rPr>
      <w:rFonts w:ascii="Arial" w:eastAsiaTheme="minorHAnsi" w:hAnsi="Arial" w:cs="Arial"/>
      <w:b/>
      <w:sz w:val="36"/>
      <w:szCs w:val="36"/>
      <w:lang w:val="en-GB" w:eastAsia="en-GB"/>
    </w:rPr>
  </w:style>
  <w:style w:type="paragraph" w:customStyle="1" w:styleId="REG-H2">
    <w:name w:val="REG-H2"/>
    <w:link w:val="REG-H2Char"/>
    <w:qFormat/>
    <w:rsid w:val="00EC083A"/>
    <w:pPr>
      <w:suppressAutoHyphens/>
      <w:autoSpaceDE w:val="0"/>
      <w:autoSpaceDN w:val="0"/>
      <w:adjustRightInd w:val="0"/>
      <w:jc w:val="center"/>
    </w:pPr>
    <w:rPr>
      <w:rFonts w:ascii="Times New Roman" w:eastAsiaTheme="minorHAnsi" w:hAnsi="Times New Roman"/>
      <w:b/>
      <w:caps/>
      <w:color w:val="00B050"/>
      <w:sz w:val="24"/>
      <w:szCs w:val="24"/>
      <w:lang w:val="en-GB" w:eastAsia="en-GB"/>
    </w:rPr>
  </w:style>
  <w:style w:type="character" w:customStyle="1" w:styleId="REG-H1aChar">
    <w:name w:val="REG-H1a Char"/>
    <w:basedOn w:val="DefaultParagraphFont"/>
    <w:link w:val="REG-H1a"/>
    <w:rsid w:val="00EC083A"/>
    <w:rPr>
      <w:rFonts w:ascii="Arial" w:eastAsiaTheme="minorHAnsi" w:hAnsi="Arial" w:cs="Arial"/>
      <w:b/>
      <w:sz w:val="36"/>
      <w:szCs w:val="36"/>
      <w:lang w:val="en-GB" w:eastAsia="en-GB"/>
    </w:rPr>
  </w:style>
  <w:style w:type="paragraph" w:customStyle="1" w:styleId="AS-H1-Colour">
    <w:name w:val="AS-H1-Colour"/>
    <w:basedOn w:val="Normal"/>
    <w:link w:val="AS-H1-ColourChar"/>
    <w:rsid w:val="00EC083A"/>
    <w:pPr>
      <w:suppressAutoHyphens/>
      <w:autoSpaceDE w:val="0"/>
      <w:autoSpaceDN w:val="0"/>
      <w:adjustRightInd w:val="0"/>
      <w:jc w:val="center"/>
    </w:pPr>
    <w:rPr>
      <w:rFonts w:ascii="Arial" w:hAnsi="Arial" w:cs="Arial"/>
      <w:b/>
      <w:color w:val="00B050"/>
      <w:sz w:val="36"/>
      <w:szCs w:val="36"/>
    </w:rPr>
  </w:style>
  <w:style w:type="character" w:customStyle="1" w:styleId="REG-H2Char">
    <w:name w:val="REG-H2 Char"/>
    <w:basedOn w:val="DefaultParagraphFont"/>
    <w:link w:val="REG-H2"/>
    <w:rsid w:val="00EC083A"/>
    <w:rPr>
      <w:rFonts w:ascii="Times New Roman" w:eastAsiaTheme="minorHAnsi" w:hAnsi="Times New Roman"/>
      <w:b/>
      <w:caps/>
      <w:color w:val="00B050"/>
      <w:sz w:val="24"/>
      <w:szCs w:val="24"/>
      <w:lang w:val="en-GB" w:eastAsia="en-GB"/>
    </w:rPr>
  </w:style>
  <w:style w:type="paragraph" w:customStyle="1" w:styleId="AS-H2b">
    <w:name w:val="AS-H2b"/>
    <w:basedOn w:val="Normal"/>
    <w:link w:val="AS-H2bChar"/>
    <w:rsid w:val="00EC083A"/>
    <w:pPr>
      <w:suppressAutoHyphens/>
      <w:autoSpaceDE w:val="0"/>
      <w:autoSpaceDN w:val="0"/>
      <w:adjustRightInd w:val="0"/>
      <w:jc w:val="center"/>
    </w:pPr>
    <w:rPr>
      <w:rFonts w:ascii="Arial" w:hAnsi="Arial" w:cs="Arial"/>
    </w:rPr>
  </w:style>
  <w:style w:type="character" w:customStyle="1" w:styleId="AS-H1-ColourChar">
    <w:name w:val="AS-H1-Colour Char"/>
    <w:basedOn w:val="DefaultParagraphFont"/>
    <w:link w:val="AS-H1-Colour"/>
    <w:rsid w:val="00EC083A"/>
    <w:rPr>
      <w:rFonts w:ascii="Arial" w:eastAsiaTheme="minorHAnsi" w:hAnsi="Arial" w:cs="Arial"/>
      <w:b/>
      <w:noProof/>
      <w:color w:val="00B050"/>
      <w:sz w:val="36"/>
      <w:szCs w:val="36"/>
      <w:lang w:val="en-GB" w:eastAsia="en-GB"/>
    </w:rPr>
  </w:style>
  <w:style w:type="paragraph" w:customStyle="1" w:styleId="AS-H3">
    <w:name w:val="AS-H3"/>
    <w:basedOn w:val="AS-H3A"/>
    <w:link w:val="AS-H3Char"/>
    <w:rsid w:val="00EC083A"/>
    <w:rPr>
      <w:sz w:val="28"/>
    </w:rPr>
  </w:style>
  <w:style w:type="character" w:customStyle="1" w:styleId="AS-H2bChar">
    <w:name w:val="AS-H2b Char"/>
    <w:basedOn w:val="DefaultParagraphFont"/>
    <w:link w:val="AS-H2b"/>
    <w:rsid w:val="00EC083A"/>
    <w:rPr>
      <w:rFonts w:ascii="Arial" w:eastAsiaTheme="minorHAnsi" w:hAnsi="Arial" w:cs="Arial"/>
      <w:noProof/>
      <w:sz w:val="22"/>
      <w:szCs w:val="22"/>
      <w:lang w:val="en-GB" w:eastAsia="en-GB"/>
    </w:rPr>
  </w:style>
  <w:style w:type="paragraph" w:customStyle="1" w:styleId="REG-H3b">
    <w:name w:val="REG-H3b"/>
    <w:link w:val="REG-H3bChar"/>
    <w:qFormat/>
    <w:rsid w:val="00EC083A"/>
    <w:pPr>
      <w:jc w:val="center"/>
    </w:pPr>
    <w:rPr>
      <w:rFonts w:ascii="Times New Roman" w:eastAsiaTheme="minorHAnsi" w:hAnsi="Times New Roman"/>
      <w:sz w:val="22"/>
      <w:szCs w:val="22"/>
      <w:lang w:val="en-GB" w:eastAsia="en-GB"/>
    </w:rPr>
  </w:style>
  <w:style w:type="character" w:customStyle="1" w:styleId="AS-H3Char">
    <w:name w:val="AS-H3 Char"/>
    <w:basedOn w:val="AS-H3AChar"/>
    <w:link w:val="AS-H3"/>
    <w:rsid w:val="00EC083A"/>
    <w:rPr>
      <w:rFonts w:ascii="Times New Roman" w:eastAsiaTheme="minorHAnsi" w:hAnsi="Times New Roman"/>
      <w:b/>
      <w:caps/>
      <w:noProof/>
      <w:sz w:val="28"/>
      <w:szCs w:val="22"/>
      <w:lang w:val="en-GB" w:eastAsia="en-GB"/>
    </w:rPr>
  </w:style>
  <w:style w:type="paragraph" w:customStyle="1" w:styleId="AS-H3c">
    <w:name w:val="AS-H3c"/>
    <w:basedOn w:val="Head2B"/>
    <w:link w:val="AS-H3cChar"/>
    <w:rsid w:val="00EC083A"/>
    <w:rPr>
      <w:b w:val="0"/>
    </w:rPr>
  </w:style>
  <w:style w:type="character" w:customStyle="1" w:styleId="REG-H3bChar">
    <w:name w:val="REG-H3b Char"/>
    <w:basedOn w:val="REG-H3AChar"/>
    <w:link w:val="REG-H3b"/>
    <w:rsid w:val="00EC083A"/>
    <w:rPr>
      <w:rFonts w:ascii="Times New Roman" w:eastAsiaTheme="minorHAnsi" w:hAnsi="Times New Roman"/>
      <w:b w:val="0"/>
      <w:caps w:val="0"/>
      <w:sz w:val="22"/>
      <w:szCs w:val="22"/>
      <w:lang w:val="en-GB" w:eastAsia="en-GB"/>
    </w:rPr>
  </w:style>
  <w:style w:type="paragraph" w:customStyle="1" w:styleId="AS-H3d">
    <w:name w:val="AS-H3d"/>
    <w:basedOn w:val="Head2B"/>
    <w:link w:val="AS-H3dChar"/>
    <w:rsid w:val="00EC083A"/>
  </w:style>
  <w:style w:type="character" w:customStyle="1" w:styleId="AS-H3cChar">
    <w:name w:val="AS-H3c Char"/>
    <w:basedOn w:val="Head2BChar"/>
    <w:link w:val="AS-H3c"/>
    <w:rsid w:val="00EC083A"/>
    <w:rPr>
      <w:rFonts w:ascii="Times New Roman" w:eastAsiaTheme="minorHAnsi" w:hAnsi="Times New Roman"/>
      <w:b w:val="0"/>
      <w:caps/>
      <w:noProof/>
      <w:sz w:val="22"/>
      <w:szCs w:val="22"/>
      <w:lang w:val="en-GB" w:eastAsia="en-GB"/>
    </w:rPr>
  </w:style>
  <w:style w:type="paragraph" w:customStyle="1" w:styleId="REG-P0">
    <w:name w:val="REG-P(0)"/>
    <w:basedOn w:val="Normal"/>
    <w:link w:val="REG-P0Char"/>
    <w:qFormat/>
    <w:rsid w:val="00EC083A"/>
    <w:pPr>
      <w:tabs>
        <w:tab w:val="left" w:pos="567"/>
      </w:tabs>
      <w:jc w:val="both"/>
    </w:pPr>
    <w:rPr>
      <w:rFonts w:eastAsia="Times New Roman" w:cs="Times New Roman"/>
      <w:noProof w:val="0"/>
    </w:rPr>
  </w:style>
  <w:style w:type="character" w:customStyle="1" w:styleId="AS-H3dChar">
    <w:name w:val="AS-H3d Char"/>
    <w:basedOn w:val="Head2BChar"/>
    <w:link w:val="AS-H3d"/>
    <w:rsid w:val="00EC083A"/>
    <w:rPr>
      <w:rFonts w:ascii="Times New Roman" w:eastAsiaTheme="minorHAnsi" w:hAnsi="Times New Roman"/>
      <w:b/>
      <w:caps/>
      <w:noProof/>
      <w:sz w:val="22"/>
      <w:szCs w:val="22"/>
      <w:lang w:val="en-GB" w:eastAsia="en-GB"/>
    </w:rPr>
  </w:style>
  <w:style w:type="paragraph" w:customStyle="1" w:styleId="REG-P1">
    <w:name w:val="REG-P(1)"/>
    <w:basedOn w:val="Normal"/>
    <w:link w:val="REG-P1Char"/>
    <w:qFormat/>
    <w:rsid w:val="00EC083A"/>
    <w:pPr>
      <w:suppressAutoHyphens/>
      <w:ind w:firstLine="567"/>
      <w:jc w:val="both"/>
    </w:pPr>
    <w:rPr>
      <w:rFonts w:eastAsia="Times New Roman" w:cs="Times New Roman"/>
      <w:noProof w:val="0"/>
    </w:rPr>
  </w:style>
  <w:style w:type="character" w:customStyle="1" w:styleId="REG-P0Char">
    <w:name w:val="REG-P(0) Char"/>
    <w:basedOn w:val="DefaultParagraphFont"/>
    <w:link w:val="REG-P0"/>
    <w:rsid w:val="00EC083A"/>
    <w:rPr>
      <w:rFonts w:ascii="Times New Roman" w:eastAsia="Times New Roman" w:hAnsi="Times New Roman"/>
      <w:sz w:val="22"/>
      <w:szCs w:val="22"/>
      <w:lang w:val="en-GB" w:eastAsia="en-GB"/>
    </w:rPr>
  </w:style>
  <w:style w:type="paragraph" w:customStyle="1" w:styleId="REG-Pa">
    <w:name w:val="REG-P(a)"/>
    <w:basedOn w:val="Normal"/>
    <w:link w:val="REG-PaChar"/>
    <w:qFormat/>
    <w:rsid w:val="00EC083A"/>
    <w:pPr>
      <w:ind w:left="1134" w:hanging="567"/>
      <w:jc w:val="both"/>
    </w:pPr>
    <w:rPr>
      <w:noProof w:val="0"/>
    </w:rPr>
  </w:style>
  <w:style w:type="character" w:customStyle="1" w:styleId="REG-P1Char">
    <w:name w:val="REG-P(1) Char"/>
    <w:basedOn w:val="DefaultParagraphFont"/>
    <w:link w:val="REG-P1"/>
    <w:rsid w:val="00EC083A"/>
    <w:rPr>
      <w:rFonts w:ascii="Times New Roman" w:eastAsia="Times New Roman" w:hAnsi="Times New Roman"/>
      <w:sz w:val="22"/>
      <w:szCs w:val="22"/>
      <w:lang w:val="en-GB" w:eastAsia="en-GB"/>
    </w:rPr>
  </w:style>
  <w:style w:type="paragraph" w:customStyle="1" w:styleId="REG-Pi">
    <w:name w:val="REG-P(i)"/>
    <w:basedOn w:val="Normal"/>
    <w:link w:val="REG-PiChar"/>
    <w:qFormat/>
    <w:rsid w:val="00EC083A"/>
    <w:pPr>
      <w:suppressAutoHyphens/>
      <w:ind w:left="1701" w:hanging="567"/>
      <w:jc w:val="both"/>
    </w:pPr>
    <w:rPr>
      <w:rFonts w:eastAsia="Times New Roman" w:cs="Times New Roman"/>
      <w:noProof w:val="0"/>
    </w:rPr>
  </w:style>
  <w:style w:type="character" w:customStyle="1" w:styleId="REG-PaChar">
    <w:name w:val="REG-P(a) Char"/>
    <w:basedOn w:val="DefaultParagraphFont"/>
    <w:link w:val="REG-Pa"/>
    <w:rsid w:val="00EC083A"/>
    <w:rPr>
      <w:rFonts w:ascii="Times New Roman" w:eastAsiaTheme="minorHAnsi" w:hAnsi="Times New Roman" w:cstheme="minorBidi"/>
      <w:sz w:val="22"/>
      <w:szCs w:val="22"/>
      <w:lang w:val="en-GB" w:eastAsia="en-GB"/>
    </w:rPr>
  </w:style>
  <w:style w:type="paragraph" w:customStyle="1" w:styleId="AS-Pahang">
    <w:name w:val="AS-P(a)hang"/>
    <w:basedOn w:val="Normal"/>
    <w:link w:val="AS-PahangChar"/>
    <w:rsid w:val="00EC083A"/>
    <w:pPr>
      <w:suppressAutoHyphens/>
      <w:ind w:left="1134" w:right="-7" w:hanging="567"/>
      <w:jc w:val="both"/>
    </w:pPr>
    <w:rPr>
      <w:rFonts w:eastAsia="Times New Roman" w:cs="Times New Roman"/>
    </w:rPr>
  </w:style>
  <w:style w:type="character" w:customStyle="1" w:styleId="REG-PiChar">
    <w:name w:val="REG-P(i) Char"/>
    <w:basedOn w:val="DefaultParagraphFont"/>
    <w:link w:val="REG-Pi"/>
    <w:rsid w:val="00EC083A"/>
    <w:rPr>
      <w:rFonts w:ascii="Times New Roman" w:eastAsia="Times New Roman" w:hAnsi="Times New Roman"/>
      <w:sz w:val="22"/>
      <w:szCs w:val="22"/>
      <w:lang w:val="en-GB" w:eastAsia="en-GB"/>
    </w:rPr>
  </w:style>
  <w:style w:type="paragraph" w:customStyle="1" w:styleId="REG-Paa">
    <w:name w:val="REG-P(aa)"/>
    <w:basedOn w:val="Normal"/>
    <w:link w:val="REG-PaaChar"/>
    <w:qFormat/>
    <w:rsid w:val="00EC083A"/>
    <w:pPr>
      <w:suppressAutoHyphens/>
      <w:ind w:left="2268" w:hanging="567"/>
      <w:jc w:val="both"/>
    </w:pPr>
    <w:rPr>
      <w:rFonts w:eastAsia="Times New Roman" w:cs="Times New Roman"/>
      <w:noProof w:val="0"/>
    </w:rPr>
  </w:style>
  <w:style w:type="character" w:customStyle="1" w:styleId="AS-PahangChar">
    <w:name w:val="AS-P(a)hang Char"/>
    <w:basedOn w:val="DefaultParagraphFont"/>
    <w:link w:val="AS-Pahang"/>
    <w:rsid w:val="00EC083A"/>
    <w:rPr>
      <w:rFonts w:ascii="Times New Roman" w:eastAsia="Times New Roman" w:hAnsi="Times New Roman"/>
      <w:noProof/>
      <w:sz w:val="22"/>
      <w:szCs w:val="22"/>
      <w:lang w:val="en-GB" w:eastAsia="en-GB"/>
    </w:rPr>
  </w:style>
  <w:style w:type="paragraph" w:customStyle="1" w:styleId="REG-Amend">
    <w:name w:val="REG-Amend"/>
    <w:link w:val="REG-AmendChar"/>
    <w:qFormat/>
    <w:rsid w:val="00EC083A"/>
    <w:pPr>
      <w:jc w:val="center"/>
    </w:pPr>
    <w:rPr>
      <w:rFonts w:ascii="Arial" w:eastAsia="Times New Roman" w:hAnsi="Arial" w:cs="Arial"/>
      <w:b/>
      <w:color w:val="00B050"/>
      <w:sz w:val="18"/>
      <w:szCs w:val="18"/>
      <w:lang w:val="en-GB" w:eastAsia="en-GB"/>
    </w:rPr>
  </w:style>
  <w:style w:type="character" w:customStyle="1" w:styleId="REG-PaaChar">
    <w:name w:val="REG-P(aa) Char"/>
    <w:basedOn w:val="DefaultParagraphFont"/>
    <w:link w:val="REG-Paa"/>
    <w:rsid w:val="00EC083A"/>
    <w:rPr>
      <w:rFonts w:ascii="Times New Roman" w:eastAsia="Times New Roman" w:hAnsi="Times New Roman"/>
      <w:sz w:val="22"/>
      <w:szCs w:val="22"/>
      <w:lang w:val="en-GB" w:eastAsia="en-GB"/>
    </w:rPr>
  </w:style>
  <w:style w:type="character" w:customStyle="1" w:styleId="REG-AmendChar">
    <w:name w:val="REG-Amend Char"/>
    <w:basedOn w:val="REG-P0Char"/>
    <w:link w:val="REG-Amend"/>
    <w:rsid w:val="00EC083A"/>
    <w:rPr>
      <w:rFonts w:ascii="Arial" w:eastAsia="Times New Roman" w:hAnsi="Arial" w:cs="Arial"/>
      <w:b/>
      <w:color w:val="00B050"/>
      <w:sz w:val="18"/>
      <w:szCs w:val="18"/>
      <w:lang w:val="en-GB" w:eastAsia="en-GB"/>
    </w:rPr>
  </w:style>
  <w:style w:type="character" w:styleId="CommentReference">
    <w:name w:val="annotation reference"/>
    <w:basedOn w:val="DefaultParagraphFont"/>
    <w:uiPriority w:val="99"/>
    <w:semiHidden/>
    <w:unhideWhenUsed/>
    <w:rsid w:val="00EC083A"/>
    <w:rPr>
      <w:sz w:val="16"/>
      <w:szCs w:val="16"/>
    </w:rPr>
  </w:style>
  <w:style w:type="paragraph" w:styleId="CommentText">
    <w:name w:val="annotation text"/>
    <w:basedOn w:val="Normal"/>
    <w:link w:val="CommentTextChar"/>
    <w:uiPriority w:val="99"/>
    <w:semiHidden/>
    <w:unhideWhenUsed/>
    <w:rsid w:val="00EC083A"/>
    <w:rPr>
      <w:sz w:val="20"/>
      <w:szCs w:val="20"/>
    </w:rPr>
  </w:style>
  <w:style w:type="character" w:customStyle="1" w:styleId="CommentTextChar">
    <w:name w:val="Comment Text Char"/>
    <w:basedOn w:val="DefaultParagraphFont"/>
    <w:link w:val="CommentText"/>
    <w:uiPriority w:val="99"/>
    <w:semiHidden/>
    <w:rsid w:val="00EC083A"/>
    <w:rPr>
      <w:rFonts w:ascii="Times New Roman" w:eastAsiaTheme="minorHAnsi" w:hAnsi="Times New Roman" w:cstheme="minorBidi"/>
      <w:noProof/>
      <w:lang w:val="en-GB" w:eastAsia="en-GB"/>
    </w:rPr>
  </w:style>
  <w:style w:type="paragraph" w:styleId="CommentSubject">
    <w:name w:val="annotation subject"/>
    <w:basedOn w:val="CommentText"/>
    <w:next w:val="CommentText"/>
    <w:link w:val="CommentSubjectChar"/>
    <w:uiPriority w:val="99"/>
    <w:semiHidden/>
    <w:unhideWhenUsed/>
    <w:rsid w:val="00EC083A"/>
    <w:rPr>
      <w:b/>
      <w:bCs/>
    </w:rPr>
  </w:style>
  <w:style w:type="character" w:customStyle="1" w:styleId="CommentSubjectChar">
    <w:name w:val="Comment Subject Char"/>
    <w:basedOn w:val="CommentTextChar"/>
    <w:link w:val="CommentSubject"/>
    <w:uiPriority w:val="99"/>
    <w:semiHidden/>
    <w:rsid w:val="00EC083A"/>
    <w:rPr>
      <w:rFonts w:ascii="Times New Roman" w:eastAsiaTheme="minorHAnsi" w:hAnsi="Times New Roman" w:cstheme="minorBidi"/>
      <w:b/>
      <w:bCs/>
      <w:noProof/>
      <w:lang w:val="en-GB" w:eastAsia="en-GB"/>
    </w:rPr>
  </w:style>
  <w:style w:type="paragraph" w:customStyle="1" w:styleId="AS-H4A">
    <w:name w:val="AS-H4A"/>
    <w:basedOn w:val="AS-P0"/>
    <w:link w:val="AS-H4AChar"/>
    <w:rsid w:val="00EC083A"/>
    <w:pPr>
      <w:tabs>
        <w:tab w:val="clear" w:pos="567"/>
      </w:tabs>
      <w:jc w:val="center"/>
    </w:pPr>
    <w:rPr>
      <w:b/>
      <w:caps/>
    </w:rPr>
  </w:style>
  <w:style w:type="paragraph" w:customStyle="1" w:styleId="AS-H4b">
    <w:name w:val="AS-H4b"/>
    <w:basedOn w:val="AS-P0"/>
    <w:link w:val="AS-H4bChar"/>
    <w:rsid w:val="00EC083A"/>
    <w:pPr>
      <w:tabs>
        <w:tab w:val="clear" w:pos="567"/>
      </w:tabs>
      <w:jc w:val="center"/>
    </w:pPr>
    <w:rPr>
      <w:b/>
    </w:rPr>
  </w:style>
  <w:style w:type="character" w:customStyle="1" w:styleId="AS-H4AChar">
    <w:name w:val="AS-H4A Char"/>
    <w:basedOn w:val="AS-P0Char"/>
    <w:link w:val="AS-H4A"/>
    <w:rsid w:val="00EC083A"/>
    <w:rPr>
      <w:rFonts w:ascii="Times New Roman" w:eastAsia="Times New Roman" w:hAnsi="Times New Roman"/>
      <w:b/>
      <w:caps/>
      <w:noProof/>
      <w:sz w:val="22"/>
      <w:szCs w:val="22"/>
      <w:lang w:val="en-GB" w:eastAsia="en-GB"/>
    </w:rPr>
  </w:style>
  <w:style w:type="character" w:customStyle="1" w:styleId="AS-H4bChar">
    <w:name w:val="AS-H4b Char"/>
    <w:basedOn w:val="AS-P0Char"/>
    <w:link w:val="AS-H4b"/>
    <w:rsid w:val="00EC083A"/>
    <w:rPr>
      <w:rFonts w:ascii="Times New Roman" w:eastAsia="Times New Roman" w:hAnsi="Times New Roman"/>
      <w:b/>
      <w:noProof/>
      <w:sz w:val="22"/>
      <w:szCs w:val="22"/>
      <w:lang w:val="en-GB" w:eastAsia="en-GB"/>
    </w:rPr>
  </w:style>
  <w:style w:type="paragraph" w:customStyle="1" w:styleId="AS-H2a">
    <w:name w:val="AS-H2a"/>
    <w:basedOn w:val="Normal"/>
    <w:link w:val="AS-H2aChar"/>
    <w:rsid w:val="00EC083A"/>
    <w:pPr>
      <w:suppressAutoHyphens/>
      <w:autoSpaceDE w:val="0"/>
      <w:autoSpaceDN w:val="0"/>
      <w:adjustRightInd w:val="0"/>
      <w:jc w:val="center"/>
    </w:pPr>
    <w:rPr>
      <w:rFonts w:ascii="Arial" w:hAnsi="Arial" w:cs="Arial"/>
      <w:b/>
    </w:rPr>
  </w:style>
  <w:style w:type="character" w:customStyle="1" w:styleId="AS-H2aChar">
    <w:name w:val="AS-H2a Char"/>
    <w:basedOn w:val="DefaultParagraphFont"/>
    <w:link w:val="AS-H2a"/>
    <w:rsid w:val="00EC083A"/>
    <w:rPr>
      <w:rFonts w:ascii="Arial" w:eastAsiaTheme="minorHAnsi" w:hAnsi="Arial" w:cs="Arial"/>
      <w:b/>
      <w:noProof/>
      <w:sz w:val="22"/>
      <w:szCs w:val="22"/>
      <w:lang w:val="en-GB" w:eastAsia="en-GB"/>
    </w:rPr>
  </w:style>
  <w:style w:type="paragraph" w:customStyle="1" w:styleId="REG-H1d">
    <w:name w:val="REG-H1d"/>
    <w:link w:val="REG-H1dChar"/>
    <w:qFormat/>
    <w:rsid w:val="00EC083A"/>
    <w:pPr>
      <w:jc w:val="center"/>
    </w:pPr>
    <w:rPr>
      <w:rFonts w:ascii="Arial" w:eastAsiaTheme="minorHAnsi" w:hAnsi="Arial" w:cs="Arial"/>
      <w:noProof/>
      <w:color w:val="000000"/>
      <w:sz w:val="22"/>
      <w:szCs w:val="24"/>
      <w:lang w:val="en-ZA" w:eastAsia="en-GB"/>
    </w:rPr>
  </w:style>
  <w:style w:type="character" w:customStyle="1" w:styleId="REG-H1dChar">
    <w:name w:val="REG-H1d Char"/>
    <w:basedOn w:val="AS-H2aChar"/>
    <w:link w:val="REG-H1d"/>
    <w:rsid w:val="00EC083A"/>
    <w:rPr>
      <w:rFonts w:ascii="Arial" w:eastAsiaTheme="minorHAnsi" w:hAnsi="Arial" w:cs="Arial"/>
      <w:b w:val="0"/>
      <w:noProof/>
      <w:color w:val="000000"/>
      <w:sz w:val="22"/>
      <w:szCs w:val="24"/>
      <w:lang w:val="en-ZA" w:eastAsia="en-GB"/>
    </w:rPr>
  </w:style>
  <w:style w:type="table" w:styleId="TableGrid">
    <w:name w:val="Table Grid"/>
    <w:basedOn w:val="TableNormal"/>
    <w:uiPriority w:val="59"/>
    <w:rsid w:val="00EC083A"/>
    <w:rPr>
      <w:rFonts w:asciiTheme="minorHAnsi" w:eastAsiaTheme="minorHAnsi" w:hAnsiTheme="minorHAnsi" w:cstheme="minorBidi"/>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rsid w:val="00EC083A"/>
    <w:pPr>
      <w:widowControl w:val="0"/>
      <w:ind w:left="1150"/>
    </w:pPr>
    <w:rPr>
      <w:rFonts w:eastAsia="Times New Roman"/>
      <w:sz w:val="24"/>
      <w:szCs w:val="24"/>
      <w:lang w:val="en-US" w:eastAsia="en-US"/>
    </w:rPr>
  </w:style>
  <w:style w:type="character" w:customStyle="1" w:styleId="BodyTextChar">
    <w:name w:val="Body Text Char"/>
    <w:basedOn w:val="DefaultParagraphFont"/>
    <w:link w:val="BodyText"/>
    <w:uiPriority w:val="1"/>
    <w:rsid w:val="00EC083A"/>
    <w:rPr>
      <w:rFonts w:ascii="Times New Roman" w:eastAsia="Times New Roman" w:hAnsi="Times New Roman" w:cstheme="minorBidi"/>
      <w:noProof/>
      <w:sz w:val="24"/>
      <w:szCs w:val="24"/>
    </w:rPr>
  </w:style>
  <w:style w:type="paragraph" w:customStyle="1" w:styleId="AS-P0">
    <w:name w:val="AS-P(0)"/>
    <w:basedOn w:val="Normal"/>
    <w:link w:val="AS-P0Char"/>
    <w:rsid w:val="00EC083A"/>
    <w:pPr>
      <w:tabs>
        <w:tab w:val="left" w:pos="567"/>
      </w:tabs>
      <w:jc w:val="both"/>
    </w:pPr>
    <w:rPr>
      <w:rFonts w:eastAsia="Times New Roman" w:cs="Times New Roman"/>
    </w:rPr>
  </w:style>
  <w:style w:type="character" w:customStyle="1" w:styleId="AS-P0Char">
    <w:name w:val="AS-P(0) Char"/>
    <w:basedOn w:val="DefaultParagraphFont"/>
    <w:link w:val="AS-P0"/>
    <w:rsid w:val="00EC083A"/>
    <w:rPr>
      <w:rFonts w:ascii="Times New Roman" w:eastAsia="Times New Roman" w:hAnsi="Times New Roman"/>
      <w:noProof/>
      <w:sz w:val="22"/>
      <w:szCs w:val="22"/>
      <w:lang w:val="en-GB" w:eastAsia="en-GB"/>
    </w:rPr>
  </w:style>
  <w:style w:type="paragraph" w:customStyle="1" w:styleId="AS-H3A">
    <w:name w:val="AS-H3A"/>
    <w:basedOn w:val="Normal"/>
    <w:link w:val="AS-H3AChar"/>
    <w:rsid w:val="00EC083A"/>
    <w:pPr>
      <w:autoSpaceDE w:val="0"/>
      <w:autoSpaceDN w:val="0"/>
      <w:adjustRightInd w:val="0"/>
      <w:jc w:val="center"/>
    </w:pPr>
    <w:rPr>
      <w:rFonts w:cs="Times New Roman"/>
      <w:b/>
      <w:caps/>
    </w:rPr>
  </w:style>
  <w:style w:type="character" w:customStyle="1" w:styleId="AS-H3AChar">
    <w:name w:val="AS-H3A Char"/>
    <w:basedOn w:val="DefaultParagraphFont"/>
    <w:link w:val="AS-H3A"/>
    <w:rsid w:val="00EC083A"/>
    <w:rPr>
      <w:rFonts w:ascii="Times New Roman" w:eastAsiaTheme="minorHAnsi" w:hAnsi="Times New Roman"/>
      <w:b/>
      <w:caps/>
      <w:noProof/>
      <w:sz w:val="22"/>
      <w:szCs w:val="22"/>
      <w:lang w:val="en-GB" w:eastAsia="en-GB"/>
    </w:rPr>
  </w:style>
  <w:style w:type="paragraph" w:customStyle="1" w:styleId="AS-H1a">
    <w:name w:val="AS-H1a"/>
    <w:basedOn w:val="Normal"/>
    <w:link w:val="AS-H1aChar"/>
    <w:rsid w:val="00EC083A"/>
    <w:pPr>
      <w:suppressAutoHyphens/>
      <w:autoSpaceDE w:val="0"/>
      <w:autoSpaceDN w:val="0"/>
      <w:adjustRightInd w:val="0"/>
      <w:jc w:val="center"/>
    </w:pPr>
    <w:rPr>
      <w:rFonts w:ascii="Arial" w:hAnsi="Arial" w:cs="Arial"/>
      <w:b/>
      <w:sz w:val="36"/>
      <w:szCs w:val="36"/>
    </w:rPr>
  </w:style>
  <w:style w:type="paragraph" w:customStyle="1" w:styleId="AS-H2">
    <w:name w:val="AS-H2"/>
    <w:basedOn w:val="Normal"/>
    <w:link w:val="AS-H2Char"/>
    <w:rsid w:val="00EC083A"/>
    <w:pPr>
      <w:suppressAutoHyphens/>
      <w:autoSpaceDE w:val="0"/>
      <w:autoSpaceDN w:val="0"/>
      <w:adjustRightInd w:val="0"/>
      <w:jc w:val="center"/>
    </w:pPr>
    <w:rPr>
      <w:rFonts w:cs="Times New Roman"/>
      <w:b/>
      <w:caps/>
      <w:color w:val="000000"/>
      <w:sz w:val="26"/>
    </w:rPr>
  </w:style>
  <w:style w:type="character" w:customStyle="1" w:styleId="AS-H1aChar">
    <w:name w:val="AS-H1a Char"/>
    <w:basedOn w:val="DefaultParagraphFont"/>
    <w:link w:val="AS-H1a"/>
    <w:rsid w:val="00EC083A"/>
    <w:rPr>
      <w:rFonts w:ascii="Arial" w:eastAsiaTheme="minorHAnsi" w:hAnsi="Arial" w:cs="Arial"/>
      <w:b/>
      <w:noProof/>
      <w:sz w:val="36"/>
      <w:szCs w:val="36"/>
      <w:lang w:val="en-GB" w:eastAsia="en-GB"/>
    </w:rPr>
  </w:style>
  <w:style w:type="character" w:customStyle="1" w:styleId="AS-H2Char">
    <w:name w:val="AS-H2 Char"/>
    <w:basedOn w:val="DefaultParagraphFont"/>
    <w:link w:val="AS-H2"/>
    <w:rsid w:val="00EC083A"/>
    <w:rPr>
      <w:rFonts w:ascii="Times New Roman" w:eastAsiaTheme="minorHAnsi" w:hAnsi="Times New Roman"/>
      <w:b/>
      <w:caps/>
      <w:noProof/>
      <w:color w:val="000000"/>
      <w:sz w:val="26"/>
      <w:szCs w:val="22"/>
      <w:lang w:val="en-GB" w:eastAsia="en-GB"/>
    </w:rPr>
  </w:style>
  <w:style w:type="paragraph" w:customStyle="1" w:styleId="AS-H3b">
    <w:name w:val="AS-H3b"/>
    <w:basedOn w:val="Normal"/>
    <w:link w:val="AS-H3bChar"/>
    <w:autoRedefine/>
    <w:rsid w:val="00EC083A"/>
    <w:pPr>
      <w:jc w:val="center"/>
    </w:pPr>
    <w:rPr>
      <w:rFonts w:cs="Times New Roman"/>
      <w:b/>
    </w:rPr>
  </w:style>
  <w:style w:type="character" w:customStyle="1" w:styleId="AS-H3bChar">
    <w:name w:val="AS-H3b Char"/>
    <w:basedOn w:val="AS-H3AChar"/>
    <w:link w:val="AS-H3b"/>
    <w:rsid w:val="00EC083A"/>
    <w:rPr>
      <w:rFonts w:ascii="Times New Roman" w:eastAsiaTheme="minorHAnsi" w:hAnsi="Times New Roman"/>
      <w:b/>
      <w:caps w:val="0"/>
      <w:noProof/>
      <w:sz w:val="22"/>
      <w:szCs w:val="22"/>
      <w:lang w:val="en-GB" w:eastAsia="en-GB"/>
    </w:rPr>
  </w:style>
  <w:style w:type="paragraph" w:customStyle="1" w:styleId="AS-P1">
    <w:name w:val="AS-P(1)"/>
    <w:basedOn w:val="Normal"/>
    <w:link w:val="AS-P1Char"/>
    <w:rsid w:val="00EC083A"/>
    <w:pPr>
      <w:suppressAutoHyphens/>
      <w:ind w:right="-7" w:firstLine="567"/>
      <w:jc w:val="both"/>
    </w:pPr>
    <w:rPr>
      <w:rFonts w:eastAsia="Times New Roman" w:cs="Times New Roman"/>
    </w:rPr>
  </w:style>
  <w:style w:type="paragraph" w:customStyle="1" w:styleId="AS-Pa">
    <w:name w:val="AS-P(a)"/>
    <w:basedOn w:val="AS-Pahang"/>
    <w:link w:val="AS-PaChar"/>
    <w:rsid w:val="00EC083A"/>
  </w:style>
  <w:style w:type="character" w:customStyle="1" w:styleId="AS-P1Char">
    <w:name w:val="AS-P(1) Char"/>
    <w:basedOn w:val="DefaultParagraphFont"/>
    <w:link w:val="AS-P1"/>
    <w:rsid w:val="00EC083A"/>
    <w:rPr>
      <w:rFonts w:ascii="Times New Roman" w:eastAsia="Times New Roman" w:hAnsi="Times New Roman"/>
      <w:noProof/>
      <w:sz w:val="22"/>
      <w:szCs w:val="22"/>
      <w:lang w:val="en-GB" w:eastAsia="en-GB"/>
    </w:rPr>
  </w:style>
  <w:style w:type="paragraph" w:customStyle="1" w:styleId="AS-Pi">
    <w:name w:val="AS-P(i)"/>
    <w:basedOn w:val="Normal"/>
    <w:link w:val="AS-PiChar"/>
    <w:rsid w:val="00EC083A"/>
    <w:pPr>
      <w:suppressAutoHyphens/>
      <w:ind w:left="1701" w:right="-7" w:hanging="567"/>
      <w:jc w:val="both"/>
    </w:pPr>
    <w:rPr>
      <w:rFonts w:eastAsia="Times New Roman" w:cs="Times New Roman"/>
    </w:rPr>
  </w:style>
  <w:style w:type="character" w:customStyle="1" w:styleId="AS-PaChar">
    <w:name w:val="AS-P(a) Char"/>
    <w:basedOn w:val="DefaultParagraphFont"/>
    <w:link w:val="AS-Pa"/>
    <w:rsid w:val="00EC083A"/>
    <w:rPr>
      <w:rFonts w:ascii="Times New Roman" w:eastAsia="Times New Roman" w:hAnsi="Times New Roman"/>
      <w:noProof/>
      <w:sz w:val="22"/>
      <w:szCs w:val="22"/>
      <w:lang w:val="en-GB" w:eastAsia="en-GB"/>
    </w:rPr>
  </w:style>
  <w:style w:type="character" w:customStyle="1" w:styleId="AS-PiChar">
    <w:name w:val="AS-P(i) Char"/>
    <w:basedOn w:val="DefaultParagraphFont"/>
    <w:link w:val="AS-Pi"/>
    <w:rsid w:val="00EC083A"/>
    <w:rPr>
      <w:rFonts w:ascii="Times New Roman" w:eastAsia="Times New Roman" w:hAnsi="Times New Roman"/>
      <w:noProof/>
      <w:sz w:val="22"/>
      <w:szCs w:val="22"/>
      <w:lang w:val="en-GB" w:eastAsia="en-GB"/>
    </w:rPr>
  </w:style>
  <w:style w:type="paragraph" w:customStyle="1" w:styleId="AS-Paa">
    <w:name w:val="AS-P(aa)"/>
    <w:basedOn w:val="Normal"/>
    <w:link w:val="AS-PaaChar"/>
    <w:rsid w:val="00EC083A"/>
    <w:pPr>
      <w:suppressAutoHyphens/>
      <w:ind w:left="2267" w:right="-7" w:hanging="566"/>
      <w:jc w:val="both"/>
    </w:pPr>
    <w:rPr>
      <w:rFonts w:eastAsia="Times New Roman" w:cs="Times New Roman"/>
    </w:rPr>
  </w:style>
  <w:style w:type="paragraph" w:customStyle="1" w:styleId="AS-P-Amend">
    <w:name w:val="AS-P-Amend"/>
    <w:link w:val="AS-P-AmendChar"/>
    <w:rsid w:val="00EC083A"/>
    <w:pPr>
      <w:jc w:val="center"/>
    </w:pPr>
    <w:rPr>
      <w:rFonts w:ascii="Arial" w:eastAsia="Times New Roman" w:hAnsi="Arial" w:cs="Arial"/>
      <w:b/>
      <w:noProof/>
      <w:color w:val="00B050"/>
      <w:sz w:val="18"/>
      <w:szCs w:val="18"/>
      <w:lang w:val="en-GB" w:eastAsia="en-GB"/>
    </w:rPr>
  </w:style>
  <w:style w:type="character" w:customStyle="1" w:styleId="AS-PaaChar">
    <w:name w:val="AS-P(aa) Char"/>
    <w:basedOn w:val="DefaultParagraphFont"/>
    <w:link w:val="AS-Paa"/>
    <w:rsid w:val="00EC083A"/>
    <w:rPr>
      <w:rFonts w:ascii="Times New Roman" w:eastAsia="Times New Roman" w:hAnsi="Times New Roman"/>
      <w:noProof/>
      <w:sz w:val="22"/>
      <w:szCs w:val="22"/>
      <w:lang w:val="en-GB" w:eastAsia="en-GB"/>
    </w:rPr>
  </w:style>
  <w:style w:type="character" w:customStyle="1" w:styleId="AS-P-AmendChar">
    <w:name w:val="AS-P-Amend Char"/>
    <w:basedOn w:val="AS-P0Char"/>
    <w:link w:val="AS-P-Amend"/>
    <w:rsid w:val="00EC083A"/>
    <w:rPr>
      <w:rFonts w:ascii="Arial" w:eastAsia="Times New Roman" w:hAnsi="Arial" w:cs="Arial"/>
      <w:b/>
      <w:noProof/>
      <w:color w:val="00B050"/>
      <w:sz w:val="18"/>
      <w:szCs w:val="18"/>
      <w:lang w:val="en-GB" w:eastAsia="en-GB"/>
    </w:rPr>
  </w:style>
  <w:style w:type="paragraph" w:customStyle="1" w:styleId="AS-H1b">
    <w:name w:val="AS-H1b"/>
    <w:basedOn w:val="Normal"/>
    <w:link w:val="AS-H1bChar"/>
    <w:rsid w:val="00EC083A"/>
    <w:pPr>
      <w:jc w:val="center"/>
    </w:pPr>
    <w:rPr>
      <w:rFonts w:ascii="Arial" w:hAnsi="Arial" w:cs="Arial"/>
      <w:b/>
      <w:color w:val="000000"/>
      <w:sz w:val="24"/>
      <w:szCs w:val="24"/>
    </w:rPr>
  </w:style>
  <w:style w:type="character" w:customStyle="1" w:styleId="AS-H1bChar">
    <w:name w:val="AS-H1b Char"/>
    <w:basedOn w:val="AS-H2aChar"/>
    <w:link w:val="AS-H1b"/>
    <w:rsid w:val="00EC083A"/>
    <w:rPr>
      <w:rFonts w:ascii="Arial" w:eastAsiaTheme="minorHAnsi" w:hAnsi="Arial" w:cs="Arial"/>
      <w:b/>
      <w:noProof/>
      <w:color w:val="000000"/>
      <w:sz w:val="24"/>
      <w:szCs w:val="24"/>
      <w:lang w:val="en-GB" w:eastAsia="en-GB"/>
    </w:rPr>
  </w:style>
  <w:style w:type="paragraph" w:customStyle="1" w:styleId="REG-H1b">
    <w:name w:val="REG-H1b"/>
    <w:link w:val="REG-H1bChar"/>
    <w:qFormat/>
    <w:rsid w:val="00EC083A"/>
    <w:pPr>
      <w:jc w:val="center"/>
    </w:pPr>
    <w:rPr>
      <w:rFonts w:ascii="Arial" w:eastAsiaTheme="minorHAnsi" w:hAnsi="Arial" w:cstheme="minorBidi"/>
      <w:b/>
      <w:sz w:val="28"/>
      <w:szCs w:val="24"/>
      <w:lang w:val="en-GB" w:eastAsia="en-GB"/>
    </w:rPr>
  </w:style>
  <w:style w:type="character" w:customStyle="1" w:styleId="Heading1Char">
    <w:name w:val="Heading 1 Char"/>
    <w:basedOn w:val="DefaultParagraphFont"/>
    <w:link w:val="Heading1"/>
    <w:uiPriority w:val="9"/>
    <w:rsid w:val="00EC083A"/>
    <w:rPr>
      <w:rFonts w:ascii="Times New Roman" w:eastAsia="Times New Roman" w:hAnsi="Times New Roman" w:cstheme="minorBidi"/>
      <w:b/>
      <w:bCs/>
      <w:noProof/>
      <w:sz w:val="22"/>
      <w:szCs w:val="22"/>
      <w:lang w:val="en-GB" w:eastAsia="en-GB"/>
    </w:rPr>
  </w:style>
  <w:style w:type="paragraph" w:customStyle="1" w:styleId="TableParagraph">
    <w:name w:val="Table Paragraph"/>
    <w:basedOn w:val="Normal"/>
    <w:uiPriority w:val="1"/>
    <w:rsid w:val="00EC083A"/>
  </w:style>
  <w:style w:type="table" w:customStyle="1" w:styleId="TableGrid0">
    <w:name w:val="TableGrid"/>
    <w:rsid w:val="00EC083A"/>
    <w:rPr>
      <w:rFonts w:asciiTheme="minorHAnsi" w:eastAsiaTheme="minorEastAsia" w:hAnsiTheme="minorHAnsi" w:cstheme="minorBidi"/>
      <w:sz w:val="22"/>
      <w:szCs w:val="22"/>
      <w:lang w:val="en-GB" w:eastAsia="en-GB"/>
    </w:rPr>
    <w:tblPr>
      <w:tblCellMar>
        <w:top w:w="0" w:type="dxa"/>
        <w:left w:w="0" w:type="dxa"/>
        <w:bottom w:w="0" w:type="dxa"/>
        <w:right w:w="0" w:type="dxa"/>
      </w:tblCellMar>
    </w:tblPr>
  </w:style>
  <w:style w:type="paragraph" w:customStyle="1" w:styleId="REG-H1c">
    <w:name w:val="REG-H1c"/>
    <w:link w:val="REG-H1cChar"/>
    <w:qFormat/>
    <w:rsid w:val="00EC083A"/>
    <w:pPr>
      <w:jc w:val="center"/>
    </w:pPr>
    <w:rPr>
      <w:rFonts w:ascii="Arial" w:eastAsiaTheme="minorHAnsi" w:hAnsi="Arial" w:cstheme="minorBidi"/>
      <w:b/>
      <w:sz w:val="24"/>
      <w:szCs w:val="24"/>
      <w:lang w:val="en-GB" w:eastAsia="en-GB"/>
    </w:rPr>
  </w:style>
  <w:style w:type="character" w:customStyle="1" w:styleId="REG-H1bChar">
    <w:name w:val="REG-H1b Char"/>
    <w:basedOn w:val="DefaultParagraphFont"/>
    <w:link w:val="REG-H1b"/>
    <w:rsid w:val="00EC083A"/>
    <w:rPr>
      <w:rFonts w:ascii="Arial" w:eastAsiaTheme="minorHAnsi" w:hAnsi="Arial" w:cstheme="minorBidi"/>
      <w:b/>
      <w:sz w:val="28"/>
      <w:szCs w:val="24"/>
      <w:lang w:val="en-GB" w:eastAsia="en-GB"/>
    </w:rPr>
  </w:style>
  <w:style w:type="character" w:customStyle="1" w:styleId="REG-H1cChar">
    <w:name w:val="REG-H1c Char"/>
    <w:basedOn w:val="REG-H1bChar"/>
    <w:link w:val="REG-H1c"/>
    <w:rsid w:val="00EC083A"/>
    <w:rPr>
      <w:rFonts w:ascii="Arial" w:eastAsiaTheme="minorHAnsi" w:hAnsi="Arial" w:cstheme="minorBidi"/>
      <w:b/>
      <w:sz w:val="24"/>
      <w:szCs w:val="24"/>
      <w:lang w:val="en-GB" w:eastAsia="en-GB"/>
    </w:rPr>
  </w:style>
  <w:style w:type="paragraph" w:customStyle="1" w:styleId="REG-PHA">
    <w:name w:val="REG-PH(A)"/>
    <w:link w:val="REG-PHAChar"/>
    <w:qFormat/>
    <w:rsid w:val="00EC083A"/>
    <w:pPr>
      <w:jc w:val="center"/>
    </w:pPr>
    <w:rPr>
      <w:rFonts w:ascii="Arial" w:eastAsiaTheme="minorHAnsi" w:hAnsi="Arial" w:cstheme="minorBidi"/>
      <w:b/>
      <w:caps/>
      <w:sz w:val="16"/>
      <w:szCs w:val="24"/>
      <w:lang w:val="en-GB" w:eastAsia="en-GB"/>
    </w:rPr>
  </w:style>
  <w:style w:type="paragraph" w:customStyle="1" w:styleId="REG-PHb">
    <w:name w:val="REG-PH(b)"/>
    <w:link w:val="REG-PHbChar"/>
    <w:qFormat/>
    <w:rsid w:val="00EC083A"/>
    <w:pPr>
      <w:jc w:val="center"/>
    </w:pPr>
    <w:rPr>
      <w:rFonts w:ascii="Arial" w:eastAsiaTheme="minorHAnsi" w:hAnsi="Arial" w:cs="Arial"/>
      <w:b/>
      <w:sz w:val="16"/>
      <w:szCs w:val="16"/>
      <w:lang w:val="en-GB" w:eastAsia="en-GB"/>
    </w:rPr>
  </w:style>
  <w:style w:type="character" w:customStyle="1" w:styleId="REG-PHAChar">
    <w:name w:val="REG-PH(A) Char"/>
    <w:basedOn w:val="REG-H1bChar"/>
    <w:link w:val="REG-PHA"/>
    <w:rsid w:val="00EC083A"/>
    <w:rPr>
      <w:rFonts w:ascii="Arial" w:eastAsiaTheme="minorHAnsi" w:hAnsi="Arial" w:cstheme="minorBidi"/>
      <w:b/>
      <w:caps/>
      <w:sz w:val="16"/>
      <w:szCs w:val="24"/>
      <w:lang w:val="en-GB" w:eastAsia="en-GB"/>
    </w:rPr>
  </w:style>
  <w:style w:type="character" w:customStyle="1" w:styleId="REG-PHbChar">
    <w:name w:val="REG-PH(b) Char"/>
    <w:basedOn w:val="REG-H1bChar"/>
    <w:link w:val="REG-PHb"/>
    <w:rsid w:val="00EC083A"/>
    <w:rPr>
      <w:rFonts w:ascii="Arial" w:eastAsiaTheme="minorHAnsi" w:hAnsi="Arial" w:cs="Arial"/>
      <w:b/>
      <w:sz w:val="16"/>
      <w:szCs w:val="16"/>
      <w:lang w:val="en-GB" w:eastAsia="en-GB"/>
    </w:rPr>
  </w:style>
  <w:style w:type="character" w:styleId="Hyperlink">
    <w:name w:val="Hyperlink"/>
    <w:uiPriority w:val="99"/>
    <w:rsid w:val="00A35685"/>
    <w:rPr>
      <w:rFonts w:ascii="Arial" w:hAnsi="Arial" w:cs="Times New Roman"/>
      <w:color w:val="00B050"/>
      <w:sz w:val="18"/>
      <w:u w:val="single"/>
    </w:rPr>
  </w:style>
  <w:style w:type="character" w:styleId="FollowedHyperlink">
    <w:name w:val="FollowedHyperlink"/>
    <w:basedOn w:val="DefaultParagraphFont"/>
    <w:uiPriority w:val="99"/>
    <w:semiHidden/>
    <w:unhideWhenUsed/>
    <w:rsid w:val="00A35685"/>
    <w:rPr>
      <w:rFonts w:ascii="Arial" w:hAnsi="Arial"/>
      <w:color w:val="00B050"/>
      <w:sz w:val="1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ac.org.na/laws/1981/og4473.pdf" TargetMode="External"/><Relationship Id="rId13" Type="http://schemas.openxmlformats.org/officeDocument/2006/relationships/hyperlink" Target="http://www.lac.org.na/laws/2016/6052.pdf" TargetMode="External"/><Relationship Id="rId18"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lac.org.na/laws/1992/536.pdf"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lac.org.na/laws/1986/og5158.pdf" TargetMode="External"/><Relationship Id="rId5" Type="http://schemas.openxmlformats.org/officeDocument/2006/relationships/footnotes" Target="footnotes.xml"/><Relationship Id="rId15" Type="http://schemas.openxmlformats.org/officeDocument/2006/relationships/hyperlink" Target="http://www.lac.org.na/laws/2020/7321.pdf" TargetMode="External"/><Relationship Id="rId10" Type="http://schemas.openxmlformats.org/officeDocument/2006/relationships/hyperlink" Target="http://www.lac.org.na/laws/1985/og5035.pdf"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lac.org.na/laws/1984/og4955.pdf" TargetMode="External"/><Relationship Id="rId14" Type="http://schemas.openxmlformats.org/officeDocument/2006/relationships/hyperlink" Target="http://www.lac.org.na/laws/2017/6297.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Microsoft\Templates\GRN%20Annotated%20Statute%20Template%20-%20Pre-Independence%20Regulations%20SPELLCHEC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GRN Annotated Statute Template - Pre-Independence Regulations SPELLCHECK.dotx</Template>
  <TotalTime>36</TotalTime>
  <Pages>4</Pages>
  <Words>1272</Words>
  <Characters>7256</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Credit Agreements Act 75 of 1980-Regulations 1981-0068</vt:lpstr>
    </vt:vector>
  </TitlesOfParts>
  <Company/>
  <LinksUpToDate>false</LinksUpToDate>
  <CharactersWithSpaces>8511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Credit Agreements Act 75 of 1980-Regulations 1981-0068</dc:title>
  <dc:creator>LAC</dc:creator>
  <cp:lastModifiedBy>Dianne Hubbard</cp:lastModifiedBy>
  <cp:revision>10</cp:revision>
  <dcterms:created xsi:type="dcterms:W3CDTF">2022-04-04T13:47:00Z</dcterms:created>
  <dcterms:modified xsi:type="dcterms:W3CDTF">2022-04-04T14:43:00Z</dcterms:modified>
</cp:coreProperties>
</file>